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地方志编纂经费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中共哈密市伊州区委员会党史和文献研究室</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中共哈密市伊州区委员会党史和文献研究室</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胡筱峻</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2025年05月16日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一、基本情况</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（一）项目概况</w:t>
      </w:r>
    </w:p>
    <w:p>
      <w:pPr>
        <w:spacing w:line="540" w:lineRule="exact"/>
        <w:ind w:firstLine="624" w:firstLineChars="2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根据2006年5月18日中华人民共和国国务院发布《地方志工作条例》，为了继承和发扬中华民族优秀文化传统、全面、客观、系统地编簨地方志、科学、合理地开发利用地方志、发挥地方志在促进经济社会发展中地作用而制定的条例。我单位申报实施地方年鉴经费项目，同时，为了确保该项目的顺利实施，我单位制定印发了专项资金和绩效评价管理办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主要内容及实施情况</w:t>
      </w:r>
      <w:r>
        <w:rPr>
          <w:rStyle w:val="17"/>
          <w:rFonts w:hint="eastAsia" w:ascii="仿宋_GB2312" w:hAnsi="仿宋_GB2312" w:eastAsia="仿宋_GB2312" w:cs="仿宋_GB2312"/>
          <w:b w:val="0"/>
          <w:bCs w:val="0"/>
          <w:spacing w:val="-4"/>
          <w:sz w:val="32"/>
          <w:szCs w:val="32"/>
          <w:lang w:eastAsia="zh-CN"/>
        </w:rPr>
        <w:t>：</w:t>
      </w:r>
      <w:r>
        <w:rPr>
          <w:rStyle w:val="17"/>
          <w:rFonts w:hint="eastAsia" w:ascii="仿宋_GB2312" w:hAnsi="仿宋_GB2312" w:eastAsia="仿宋_GB2312" w:cs="仿宋_GB2312"/>
          <w:b w:val="0"/>
          <w:bCs w:val="0"/>
          <w:spacing w:val="-4"/>
          <w:sz w:val="32"/>
          <w:szCs w:val="32"/>
        </w:rPr>
        <w:t>本项目于2024年1月1日开始实施，截止2024年12月已全面完成，完成2024年鉴出版费、印刷费、车辆运行费等费用。通过本项目的实施继承和发扬中华民族优秀文化传统、全面、客观、系统地编簨地方志、科学、合理地开发利用地方志、发挥地方志在促进经济社会发展中地作用。</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资金投入和使用情况</w:t>
      </w:r>
      <w:r>
        <w:rPr>
          <w:rStyle w:val="17"/>
          <w:rFonts w:hint="eastAsia" w:ascii="仿宋_GB2312" w:hAnsi="仿宋_GB2312" w:eastAsia="仿宋_GB2312" w:cs="仿宋_GB2312"/>
          <w:b w:val="0"/>
          <w:bCs w:val="0"/>
          <w:spacing w:val="-4"/>
          <w:sz w:val="32"/>
          <w:szCs w:val="32"/>
          <w:lang w:eastAsia="zh-CN"/>
        </w:rPr>
        <w:t>：</w:t>
      </w:r>
      <w:r>
        <w:rPr>
          <w:rStyle w:val="17"/>
          <w:rFonts w:hint="eastAsia" w:ascii="仿宋_GB2312" w:hAnsi="仿宋_GB2312" w:eastAsia="仿宋_GB2312" w:cs="仿宋_GB2312"/>
          <w:b w:val="0"/>
          <w:bCs w:val="0"/>
          <w:spacing w:val="-4"/>
          <w:sz w:val="32"/>
          <w:szCs w:val="32"/>
        </w:rPr>
        <w:t>2024计划拨付15万元，项目于2024年1月28日批复预算资金15万元，截至2024年12月31日，项目用于14.8</w:t>
      </w:r>
      <w:r>
        <w:rPr>
          <w:rStyle w:val="17"/>
          <w:rFonts w:hint="eastAsia" w:ascii="仿宋_GB2312" w:hAnsi="仿宋_GB2312" w:eastAsia="仿宋_GB2312" w:cs="仿宋_GB2312"/>
          <w:b w:val="0"/>
          <w:bCs w:val="0"/>
          <w:spacing w:val="-4"/>
          <w:sz w:val="32"/>
          <w:szCs w:val="32"/>
          <w:lang w:val="en-US" w:eastAsia="zh-CN"/>
        </w:rPr>
        <w:t>5</w:t>
      </w:r>
      <w:r>
        <w:rPr>
          <w:rStyle w:val="17"/>
          <w:rFonts w:hint="eastAsia" w:ascii="仿宋_GB2312" w:hAnsi="仿宋_GB2312" w:eastAsia="仿宋_GB2312" w:cs="仿宋_GB2312"/>
          <w:b w:val="0"/>
          <w:bCs w:val="0"/>
          <w:spacing w:val="-4"/>
          <w:sz w:val="32"/>
          <w:szCs w:val="32"/>
        </w:rPr>
        <w:t>万元，项目资金支付14.8</w:t>
      </w:r>
      <w:r>
        <w:rPr>
          <w:rStyle w:val="17"/>
          <w:rFonts w:hint="eastAsia" w:ascii="仿宋_GB2312" w:hAnsi="仿宋_GB2312" w:eastAsia="仿宋_GB2312" w:cs="仿宋_GB2312"/>
          <w:b w:val="0"/>
          <w:bCs w:val="0"/>
          <w:spacing w:val="-4"/>
          <w:sz w:val="32"/>
          <w:szCs w:val="32"/>
          <w:lang w:val="en-US" w:eastAsia="zh-CN"/>
        </w:rPr>
        <w:t>5</w:t>
      </w:r>
      <w:r>
        <w:rPr>
          <w:rStyle w:val="17"/>
          <w:rFonts w:hint="eastAsia" w:ascii="仿宋_GB2312" w:hAnsi="仿宋_GB2312" w:eastAsia="仿宋_GB2312" w:cs="仿宋_GB2312"/>
          <w:b w:val="0"/>
          <w:bCs w:val="0"/>
          <w:spacing w:val="-4"/>
          <w:sz w:val="32"/>
          <w:szCs w:val="32"/>
        </w:rPr>
        <w:t>万元，资金到位率100%，预算执行率为99.</w:t>
      </w:r>
      <w:r>
        <w:rPr>
          <w:rStyle w:val="17"/>
          <w:rFonts w:hint="eastAsia" w:ascii="仿宋_GB2312" w:hAnsi="仿宋_GB2312" w:eastAsia="仿宋_GB2312" w:cs="仿宋_GB2312"/>
          <w:b w:val="0"/>
          <w:bCs w:val="0"/>
          <w:spacing w:val="-4"/>
          <w:sz w:val="32"/>
          <w:szCs w:val="32"/>
          <w:lang w:val="en-US" w:eastAsia="zh-CN"/>
        </w:rPr>
        <w:t>0</w:t>
      </w:r>
      <w:r>
        <w:rPr>
          <w:rStyle w:val="17"/>
          <w:rFonts w:hint="eastAsia" w:ascii="仿宋_GB2312" w:hAnsi="仿宋_GB2312" w:eastAsia="仿宋_GB2312" w:cs="仿宋_GB2312"/>
          <w:b w:val="0"/>
          <w:bCs w:val="0"/>
          <w:spacing w:val="-4"/>
          <w:sz w:val="32"/>
          <w:szCs w:val="32"/>
        </w:rPr>
        <w:t>%。</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主要内容及实施情况</w:t>
      </w:r>
      <w:r>
        <w:rPr>
          <w:rStyle w:val="17"/>
          <w:rFonts w:hint="eastAsia" w:ascii="仿宋_GB2312" w:hAnsi="仿宋_GB2312" w:eastAsia="仿宋_GB2312" w:cs="仿宋_GB2312"/>
          <w:b w:val="0"/>
          <w:bCs w:val="0"/>
          <w:spacing w:val="-4"/>
          <w:sz w:val="32"/>
          <w:szCs w:val="32"/>
          <w:lang w:val="en-US" w:eastAsia="zh-CN"/>
        </w:rPr>
        <w:t>:</w:t>
      </w:r>
      <w:r>
        <w:rPr>
          <w:rStyle w:val="17"/>
          <w:rFonts w:hint="eastAsia" w:ascii="仿宋_GB2312" w:hAnsi="仿宋_GB2312" w:eastAsia="仿宋_GB2312" w:cs="仿宋_GB2312"/>
          <w:b w:val="0"/>
          <w:bCs w:val="0"/>
          <w:spacing w:val="-4"/>
          <w:sz w:val="32"/>
          <w:szCs w:val="32"/>
        </w:rPr>
        <w:t>本项目于2024年1月1日开始实施，截止2024年12月已全面完成，完成2024年年鉴出版费、印刷费、车辆运行等费用。通过本项目的实施继承和发扬中华民族优秀文化传统、全面、客观、系统地编簨地方志、科学、合理地开发利用地方志、发挥地方志在促进经济社会发展中地作用。3.资金投入和使用情况</w:t>
      </w:r>
      <w:r>
        <w:rPr>
          <w:rStyle w:val="17"/>
          <w:rFonts w:hint="eastAsia" w:ascii="仿宋_GB2312" w:hAnsi="仿宋_GB2312" w:eastAsia="仿宋_GB2312" w:cs="仿宋_GB2312"/>
          <w:b w:val="0"/>
          <w:bCs w:val="0"/>
          <w:spacing w:val="-4"/>
          <w:sz w:val="32"/>
          <w:szCs w:val="32"/>
          <w:lang w:val="en-US" w:eastAsia="zh-CN"/>
        </w:rPr>
        <w:t>.</w:t>
      </w:r>
      <w:r>
        <w:rPr>
          <w:rStyle w:val="17"/>
          <w:rFonts w:hint="eastAsia" w:ascii="仿宋_GB2312" w:hAnsi="仿宋_GB2312" w:eastAsia="仿宋_GB2312" w:cs="仿宋_GB2312"/>
          <w:b w:val="0"/>
          <w:bCs w:val="0"/>
          <w:spacing w:val="-4"/>
          <w:sz w:val="32"/>
          <w:szCs w:val="32"/>
        </w:rPr>
        <w:t>2024计划拨付15万元，项目于2024年1月28日批复预算资金15万元，截至2024年12月31日，项目用于14.8</w:t>
      </w:r>
      <w:r>
        <w:rPr>
          <w:rStyle w:val="17"/>
          <w:rFonts w:hint="eastAsia" w:ascii="仿宋_GB2312" w:hAnsi="仿宋_GB2312" w:eastAsia="仿宋_GB2312" w:cs="仿宋_GB2312"/>
          <w:b w:val="0"/>
          <w:bCs w:val="0"/>
          <w:spacing w:val="-4"/>
          <w:sz w:val="32"/>
          <w:szCs w:val="32"/>
          <w:lang w:val="en-US" w:eastAsia="zh-CN"/>
        </w:rPr>
        <w:t>5</w:t>
      </w:r>
      <w:r>
        <w:rPr>
          <w:rStyle w:val="17"/>
          <w:rFonts w:hint="eastAsia" w:ascii="仿宋_GB2312" w:hAnsi="仿宋_GB2312" w:eastAsia="仿宋_GB2312" w:cs="仿宋_GB2312"/>
          <w:b w:val="0"/>
          <w:bCs w:val="0"/>
          <w:spacing w:val="-4"/>
          <w:sz w:val="32"/>
          <w:szCs w:val="32"/>
        </w:rPr>
        <w:t>万元，项目资金支付14.8</w:t>
      </w:r>
      <w:r>
        <w:rPr>
          <w:rStyle w:val="17"/>
          <w:rFonts w:hint="eastAsia" w:ascii="仿宋_GB2312" w:hAnsi="仿宋_GB2312" w:eastAsia="仿宋_GB2312" w:cs="仿宋_GB2312"/>
          <w:b w:val="0"/>
          <w:bCs w:val="0"/>
          <w:spacing w:val="-4"/>
          <w:sz w:val="32"/>
          <w:szCs w:val="32"/>
          <w:lang w:val="en-US" w:eastAsia="zh-CN"/>
        </w:rPr>
        <w:t>5</w:t>
      </w:r>
      <w:r>
        <w:rPr>
          <w:rStyle w:val="17"/>
          <w:rFonts w:hint="eastAsia" w:ascii="仿宋_GB2312" w:hAnsi="仿宋_GB2312" w:eastAsia="仿宋_GB2312" w:cs="仿宋_GB2312"/>
          <w:b w:val="0"/>
          <w:bCs w:val="0"/>
          <w:spacing w:val="-4"/>
          <w:sz w:val="32"/>
          <w:szCs w:val="32"/>
        </w:rPr>
        <w:t>万元，资金到位率100%，预算执行率为99.</w:t>
      </w:r>
      <w:r>
        <w:rPr>
          <w:rStyle w:val="17"/>
          <w:rFonts w:hint="eastAsia" w:ascii="仿宋_GB2312" w:hAnsi="仿宋_GB2312" w:eastAsia="仿宋_GB2312" w:cs="仿宋_GB2312"/>
          <w:b w:val="0"/>
          <w:bCs w:val="0"/>
          <w:spacing w:val="-4"/>
          <w:sz w:val="32"/>
          <w:szCs w:val="32"/>
          <w:lang w:val="en-US" w:eastAsia="zh-CN"/>
        </w:rPr>
        <w:t>0</w:t>
      </w:r>
      <w:r>
        <w:rPr>
          <w:rStyle w:val="17"/>
          <w:rFonts w:hint="eastAsia" w:ascii="仿宋_GB2312" w:hAnsi="仿宋_GB2312" w:eastAsia="仿宋_GB2312" w:cs="仿宋_GB2312"/>
          <w:b w:val="0"/>
          <w:bCs w:val="0"/>
          <w:spacing w:val="-4"/>
          <w:sz w:val="32"/>
          <w:szCs w:val="32"/>
        </w:rPr>
        <w:t>%。</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（二）项目绩效目标</w:t>
      </w:r>
    </w:p>
    <w:p>
      <w:pPr>
        <w:spacing w:line="540" w:lineRule="exact"/>
        <w:ind w:firstLine="624" w:firstLineChars="2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本项目总体目标为：认真梳理分析2024年度伊州区经济社会发展情况，突出年度重大主题，把握发展特色亮点，加快编撰进度，提高编纂效率。2024年鉴出版费、印刷费、车辆运行费15万元。根据《自治区财政支出绩效评价管理暂行办法》（新财预〔2018〕189号）等文件精神，结合项目相关信息，将年度目标细化分解，最终确定该项目阶段性目标如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1.产出指标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数量指标：年鉴出版费、印刷费、车辆运行费不低于6次。</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质量指标：地方志编纂内容准确率≥95%。</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时效指标：项目计划实际完成时间为2024年。</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2.成本指标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经济成本指标：年鉴出版费、印刷费、车辆运行费≤15万元。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3.效益指标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社会效益指标：发挥部门职责，圆满完成项目，保障债券人效益。</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4.满意度指标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满意度指标：债权人满意度不低于90%。</w:t>
      </w:r>
    </w:p>
    <w:p>
      <w:pPr>
        <w:numPr>
          <w:ilvl w:val="0"/>
          <w:numId w:val="1"/>
        </w:num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绩效评价工作开展情况</w:t>
      </w:r>
    </w:p>
    <w:p>
      <w:pPr>
        <w:numPr>
          <w:numId w:val="0"/>
        </w:num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（一）绩效评价目的、对象和范围</w:t>
      </w:r>
    </w:p>
    <w:p>
      <w:pPr>
        <w:spacing w:line="540" w:lineRule="exact"/>
        <w:ind w:firstLine="624" w:firstLineChars="2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我单位根据《自治区财政支出绩效评价管理暂行办法》（新财预〔2018〕189号）文件精神，对地方志编纂经费项目绩效目标实现情况进行自评。</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（二）绩效评价原则、评价指标体系、评价方法、评价标准</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1.绩效评价原则</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（1）科学公正。绩效评价应当运用科学合理的方法，按照规范的程序，对项目绩效进行客观、公正的反映。</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（4）公开透明。绩效评价结果应依法依规公开，并自觉接受社会监督。</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2.评价指标体系</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（1）项目决策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项目立项：立项依据充分性，权重4分。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绩效目标：绩效目标明确性，权重4分；绩效目标合理性，权重4分。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预算编制：测算标准合理性，权重3分；测算过程细化度，权重2分。</w:t>
      </w:r>
    </w:p>
    <w:p>
      <w:pPr>
        <w:spacing w:line="540" w:lineRule="exact"/>
        <w:ind w:left="312" w:hanging="312" w:hangingChars="1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（2）项目过程</w:t>
      </w:r>
    </w:p>
    <w:p>
      <w:pPr>
        <w:spacing w:line="540" w:lineRule="exact"/>
        <w:ind w:left="319" w:leftChars="152" w:firstLine="0" w:firstLineChars="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资金管理：资金到位率，权重6分；预算执行率，权重6分。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组织实施：管理制度健全性，权重5分，制度执行有效性，权重6分。</w:t>
      </w:r>
    </w:p>
    <w:p>
      <w:pPr>
        <w:numPr>
          <w:ilvl w:val="0"/>
          <w:numId w:val="2"/>
        </w:numPr>
        <w:spacing w:line="540" w:lineRule="exact"/>
        <w:ind w:left="312" w:hanging="312" w:hangingChars="1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项目产出</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数量指标：年鉴出版费、印刷费、车辆运行费数量，权重6分；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质量指标：地方志编纂内容准确率，权重5分；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时效指标：项目完成时间率，权重5分。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成本指标：年鉴出版费、印刷费、车辆运行费，权重6分。</w:t>
      </w:r>
    </w:p>
    <w:p>
      <w:pPr>
        <w:numPr>
          <w:ilvl w:val="0"/>
          <w:numId w:val="2"/>
        </w:numPr>
        <w:spacing w:line="540" w:lineRule="exact"/>
        <w:ind w:left="312" w:hanging="312" w:hangingChars="1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效益指标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社会效益指标：发挥部门职责，圆满完成项目，权重15分；保障债券人效益，权重15分。</w:t>
      </w:r>
    </w:p>
    <w:p>
      <w:pPr>
        <w:numPr>
          <w:ilvl w:val="0"/>
          <w:numId w:val="2"/>
        </w:numPr>
        <w:spacing w:line="540" w:lineRule="exact"/>
        <w:ind w:left="312" w:leftChars="0" w:hanging="312" w:hangingChars="1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满意度指标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服务对象满意度指标：债权人满意度，权重8分。</w:t>
      </w:r>
    </w:p>
    <w:p>
      <w:pPr>
        <w:numPr>
          <w:ilvl w:val="0"/>
          <w:numId w:val="3"/>
        </w:numPr>
        <w:spacing w:line="540" w:lineRule="exact"/>
        <w:ind w:left="414" w:leftChars="-100" w:hanging="624" w:hangingChars="2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评价方法</w:t>
      </w:r>
    </w:p>
    <w:p>
      <w:pPr>
        <w:numPr>
          <w:numId w:val="0"/>
        </w:numPr>
        <w:spacing w:line="540" w:lineRule="exact"/>
        <w:ind w:leftChars="-300" w:firstLine="624" w:firstLineChars="2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地方志编纂项目绩效评价主要通过项目单位自评、主管部门监督、财政部门参评的方式开展绩效评价工作。</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绩效评价的方法主要包括：成本效益分析法、比较法、因素分析法、最低成本法、公众评判法、核实法等。根据评价指标的具体情况，可采用一种或多种方法。</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（1）成本效益分析法。是指将投入与产出、效益进行关联性分析的方法。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（2）比较法。是指将实施情况与绩效目标、历史情况、不同部门和地区同类支出情况进行比较的方法。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（3）因素分析法。是指综合分析影响绩效目标实现、实施效果的内外部因素的方法。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（4）最低成本法。是指在绩效目标确定的前提下，成本最小者为优的方法。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（5）公众评判法。是指通过专家评估、公众问卷及抽样调查等方式进行评判的方法。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（6）核实法。是收集包括书面资料及以外的信息以证实书面资料及其所反映经济活动的真实，合法，合理，有效和正确的方法。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4.评价标准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绩效评价标准通常包括计划标准、行业标准、历史标准等，用于对绩效指标完成情况进行比较。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单位自评采用定量与定性评价相结合的比较法，总分由各项指标得分汇总形成。</w:t>
      </w:r>
    </w:p>
    <w:p>
      <w:pPr>
        <w:numPr>
          <w:numId w:val="0"/>
        </w:num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（三）绩效评价工作过程</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1.前期准备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（2）采取“年初绩效目标预定与实施效果比较法”进行评价，评价指标体系以绩效目标申报指标为依据。</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2.组织过程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（1）项目全过程资料档案复核</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（2）检查内容和过程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发放调查问卷开展债权人满意度调查工作。</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（3）撰写报告情况</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根据所搜集的印证材料，按绩效评价原理和指标体系进行分析、评价和汇总，撰写绩效自评报告，并在规定时间上报。</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三、综合评价情况及评价结论</w:t>
      </w:r>
    </w:p>
    <w:p>
      <w:pPr>
        <w:spacing w:line="540" w:lineRule="exact"/>
        <w:ind w:firstLine="624" w:firstLineChars="2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本次项目自评满分100分，自评得分99</w:t>
      </w:r>
      <w:r>
        <w:rPr>
          <w:rStyle w:val="17"/>
          <w:rFonts w:hint="eastAsia" w:ascii="仿宋_GB2312" w:hAnsi="仿宋_GB2312" w:eastAsia="仿宋_GB2312" w:cs="仿宋_GB2312"/>
          <w:b w:val="0"/>
          <w:bCs w:val="0"/>
          <w:spacing w:val="-4"/>
          <w:sz w:val="32"/>
          <w:szCs w:val="32"/>
          <w:lang w:val="en-US" w:eastAsia="zh-CN"/>
        </w:rPr>
        <w:t>.9</w:t>
      </w:r>
      <w:r>
        <w:rPr>
          <w:rStyle w:val="17"/>
          <w:rFonts w:hint="eastAsia" w:ascii="仿宋_GB2312" w:hAnsi="仿宋_GB2312" w:eastAsia="仿宋_GB2312" w:cs="仿宋_GB2312"/>
          <w:b w:val="0"/>
          <w:bCs w:val="0"/>
          <w:spacing w:val="-4"/>
          <w:sz w:val="32"/>
          <w:szCs w:val="32"/>
        </w:rPr>
        <w:t>分，自评结果为“优”，其中项目决策得分17分，项目过程得分23分，项目产出得分21分，项目效益得分30分，项目满意度得分8分。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综合评价结论：项目决策方面，根据《中华人民共和国地方志条例》等相关法律法规，地方志年鉴经费立项经过综合考虑政策法规、工作计划、编纂规模、出版发行成本、人员经费、设备和耗材费用等多方面因素，确保地方志年鉴编纂工作的顺利进行；项目过程方面，根据地方志年鉴编纂工作量和相关费用，编制详细的经费预算，包括编纂、出版、发行、人员经费、设备耗材等各项费用；项目过程方面，①编纂完成的地方志年鉴：这是地方志年鉴经费投入的最主要产出。②年鉴应当包含一定时期内的政治、经济、文化、社会、生态文明等各方面的发展情况，为研究者、决策者、公众提供翔实的地情资料。③提升地方文化底蕴：通过编纂和出版地方志年鉴，可以系统地保存和传承地方的历史文化，增强地方文化底蕴，促进地方文化的发展。④服务社会经济发展：地方志年鉴资料可以为政策制定者、研究者提供决策参考和理论依据，有助于推动社会经济的发展。⑤增强公众的地域认同感：通过地方志年鉴的编纂和发行，可以让公众更好地了解和认识自己的家乡，增强公众的地域认同感和归属感。⑥编纂人员的专业能力提升：在编纂地方志年鉴的过程中，编纂人员的专业能力和研究水平也会得到提升。⑦促进地方志工作的可持续发展：地方志年鉴经费的投入，有助于保障地方志工作的持续性和稳定性，促进地方志工作的可持续发展；项目产出方面，地方志作为记录一个地区历史、地理、文化、社会等方面的文献资料，对于传承文明、发现文化意识形式的影响具有不可替代的作用。具体来说，地方志在传承文明和发现文化意识形式方面的作用主要体现在以下几个方面：①历史传承：地方志详细记录了一个伊州区从古至今的发展历程，它不仅包含了政治、经济、文化、社会等各个方面的历史变迁，也反映了当地人民的生活习俗、思想观念、宗教信仰等。这些都是一个地区文明传承的重要部分。②文化挖掘：地方志中蕴含着丰富的文化遗产，通过对方志的研究，可以挖掘出地方特色文化，如民间艺术、传统手工艺、地方方言等，这些都是文化意识形式的重要体现。③文化教育：地方志资料可以作为教育资源，用于学校教育和社会教育，通过学习地方志，可以增强人们对自己家乡文化的了解和认同，培养热爱家乡、保护文化遗产的情感。④文化自信：通过对地方志的研究和传播，可以展现一个地区的历史文化底蕴，增强当地居民的文化自信，促进地区文化的繁荣发展。⑤文化比较：地方志资料还可以用来比较不同地区的文化差异，促进地区间的文化交流和相互理解。⑥立法与政策制定：地方志中的历史资料可以为当地政府制定相关政策提供历史依据，比如在城市规划、文物保护等方面，地方志都是不可或缺的参考资料。⑦弘扬民族精神：地方志中记载的许多历史人物、事件都体现了中华民族的优良传统和民族精神，如勤劳、勇敢、团结、和谐等，这些都是社会主义核心价值观的重要内容。因此，地方志工作不仅是编纂地方志书，还包括对方志资料的研究、传播和利用，通过这些工作，可以更好地发挥地方志在传承文明、发现文化意识形式方面的作用；项目效益方面，地方志作为记录一个地区历史、地理、文化、社会等方面的文献资料，对于传承文明、发现文化意识形式的影响具有不可替代的作用。具体来说，地方志在传承文明和发现文化意识形式方面的作用主要体现在以下几个方面：①历史传承：地方志详细记录了一个伊州区从古至今的发展历程，它不仅包含了政治、经济、文化、社会等各个方面的历史变迁，也反映了当地人民的生活习俗、思想观念、宗教信仰等。这些都是一个地区文明传承的重要部分。②文化挖掘：地方志中蕴含着丰富的文化遗产，通过对方志的研究，可以挖掘出地方特色文化，如民间艺术、传统手工艺、地方方言等，这些都是文化意识形式的重要体现。③文化教育：地方志资料可以作为教育资源，用于学校教育和社会教育，通过学习地方志，可以增强人们对自己家乡文化的了解和认同，培养热爱家乡、保护文化遗产的情感。④文化自信：通过对地方志的研究和传播，可以展现一个地区的历史文化底蕴，增强当地居民的文化自信，促进地区文化的繁荣发展。⑤文化比较：地方志资料还可以用来比较不同地区的文化差异，促进地区间的文化交流和相互理解。⑥立法与政策制定：地方志中的历史资料可以为当地政府制定相关政策提供历史依据，比如在城市规划、文物保护等方面，地方志都是不可或缺的参考资料。⑦弘扬民族精神：地方志中记载的许多历史人物、事件都体现了中华民族的优良传统和民族精神，如勤劳、勇敢、团结、和谐等，这些都是社会主义核心价值观的重要内容。因此，地方志工作不仅是编纂地方志书，还包括对方志资料的研究、传播和利用，通过这些工作，可以更好地发挥地方志在传承文明、发现文化意识形式方面的作用；债权人满意度方面，为了解决伊州区委党史和文献研究室对债权人满意程度调查，本次调查通过问卷方式收集债权人反馈意见。数据分析，本次调查共收到有效问卷2份，债权人对伊州区委党史和文献研究室的总体满意度较高，其中90%的受访者表示满意或非常满意。</w:t>
      </w:r>
    </w:p>
    <w:p>
      <w:pPr>
        <w:spacing w:line="540" w:lineRule="exact"/>
        <w:rPr>
          <w:rStyle w:val="17"/>
          <w:rFonts w:hint="eastAsia" w:ascii="仿宋_GB2312" w:hAnsi="仿宋_GB2312" w:eastAsia="仿宋_GB2312" w:cs="仿宋_GB2312"/>
          <w:sz w:val="32"/>
          <w:szCs w:val="32"/>
        </w:rPr>
      </w:pPr>
      <w:r>
        <w:rPr>
          <w:rStyle w:val="17"/>
          <w:rFonts w:hint="eastAsia" w:ascii="仿宋_GB2312" w:hAnsi="仿宋_GB2312" w:eastAsia="仿宋_GB2312" w:cs="仿宋_GB2312"/>
          <w:b w:val="0"/>
          <w:spacing w:val="-4"/>
          <w:sz w:val="32"/>
          <w:szCs w:val="32"/>
        </w:rPr>
        <w:t>四、绩效评价指标分析</w:t>
      </w:r>
      <w:r>
        <w:rPr>
          <w:rStyle w:val="17"/>
          <w:rFonts w:hint="eastAsia" w:ascii="仿宋_GB2312" w:hAnsi="仿宋_GB2312" w:eastAsia="仿宋_GB2312" w:cs="仿宋_GB2312"/>
          <w:sz w:val="32"/>
          <w:szCs w:val="32"/>
        </w:rPr>
        <w:t xml:space="preserve"> </w:t>
      </w:r>
    </w:p>
    <w:p>
      <w:pPr>
        <w:spacing w:line="540" w:lineRule="exact"/>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w:t>
      </w:r>
      <w:r>
        <w:rPr>
          <w:rStyle w:val="17"/>
          <w:rFonts w:hint="eastAsia" w:ascii="仿宋_GB2312" w:hAnsi="仿宋_GB2312" w:eastAsia="仿宋_GB2312" w:cs="仿宋_GB2312"/>
          <w:spacing w:val="-4"/>
          <w:sz w:val="32"/>
          <w:szCs w:val="32"/>
        </w:rPr>
        <w:t>项目决策情况</w:t>
      </w:r>
    </w:p>
    <w:p>
      <w:pPr>
        <w:tabs>
          <w:tab w:val="center" w:pos="4295"/>
        </w:tabs>
        <w:spacing w:line="540" w:lineRule="exact"/>
        <w:ind w:left="624" w:hanging="624" w:hangingChars="2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1.项目立项</w:t>
      </w:r>
    </w:p>
    <w:p>
      <w:pPr>
        <w:tabs>
          <w:tab w:val="center" w:pos="4295"/>
        </w:tabs>
        <w:spacing w:line="540" w:lineRule="exact"/>
        <w:ind w:firstLine="624" w:firstLineChars="200"/>
        <w:rPr>
          <w:rStyle w:val="17"/>
          <w:rFonts w:hint="eastAsia" w:ascii="仿宋_GB2312" w:hAnsi="仿宋_GB2312" w:eastAsia="仿宋_GB2312" w:cs="仿宋_GB2312"/>
          <w:b w:val="0"/>
          <w:bCs w:val="0"/>
          <w:spacing w:val="-4"/>
          <w:sz w:val="32"/>
          <w:szCs w:val="32"/>
          <w:lang w:eastAsia="zh-CN"/>
        </w:rPr>
      </w:pPr>
      <w:r>
        <w:rPr>
          <w:rStyle w:val="17"/>
          <w:rFonts w:hint="eastAsia" w:ascii="仿宋_GB2312" w:hAnsi="仿宋_GB2312" w:eastAsia="仿宋_GB2312" w:cs="仿宋_GB2312"/>
          <w:b w:val="0"/>
          <w:bCs w:val="0"/>
          <w:spacing w:val="-4"/>
          <w:sz w:val="32"/>
          <w:szCs w:val="32"/>
        </w:rPr>
        <w:t>立项依据充分性，满分4分，得分4分，得分率100%。</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本项目是由伊州区委党史和文献研究室提出申报，于2024年1月批复设立，2024年我单位根据伊州区预算安排文件要求组织实施该项目。项目立项符合国家法律法规、自治区和地区行业发展规划和政策要求，属于本部门履职所需。</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2.绩效目标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（1）绩效目标明确性，满分4分，得分4分，得分率100%。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本项目总体目标为：认真梳理分析2024年度伊州区经济社会发展情况，突出年度重大主题，把握发展特色亮点，加快编撰进度，提高编纂效率。2024年鉴出版费、印刷费、车辆运行费15万元。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（2）绩效目标合理性，满分4分，得分4分，得分率100%。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本项目已将项目绩效目标细化分解为具体的绩效指标，并通过清晰、可衡量的指标值予以体现，与项目目标任务数或计划数相对应。</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3.预算编制</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（1）测算标准合理性，满分3分，得分3分，得分率100%。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预算编制经过科学论证，内容与项目内容匹配，项目投资额与工作任务相匹配。</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（2）测算过程细化度，满分2分，得分2分，得分率100%。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根据决策依据编制工作计划和经费预算，经过与部门分管领导进行沟通、筛选确定经费预算计划，上会研究确定最终预算方</w:t>
      </w:r>
      <w:r>
        <w:rPr>
          <w:rStyle w:val="17"/>
          <w:rFonts w:hint="eastAsia" w:ascii="仿宋_GB2312" w:hAnsi="仿宋_GB2312" w:eastAsia="仿宋_GB2312" w:cs="仿宋_GB2312"/>
          <w:b w:val="0"/>
          <w:bCs w:val="0"/>
          <w:spacing w:val="-4"/>
          <w:sz w:val="32"/>
          <w:szCs w:val="32"/>
          <w:lang w:eastAsia="zh-CN"/>
        </w:rPr>
        <w:tab/>
      </w:r>
    </w:p>
    <w:p>
      <w:pPr>
        <w:spacing w:line="540" w:lineRule="exact"/>
        <w:rPr>
          <w:rStyle w:val="17"/>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项目过程情况</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1.资金管理</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（1）资金到位率，满分6分，得分6分，得分率100%。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该项目所需财政资金能够足额拨付到位，牵头单位能够及时足额按照合同约定将专项资金拨付给单位。</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（2）预算执行率，满分6分，得分5分，得分率99.99%。</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本项目预算编制较为详细，预算资金15万元，实际执行14.8</w:t>
      </w:r>
      <w:r>
        <w:rPr>
          <w:rStyle w:val="17"/>
          <w:rFonts w:hint="eastAsia" w:ascii="仿宋_GB2312" w:hAnsi="仿宋_GB2312" w:eastAsia="仿宋_GB2312" w:cs="仿宋_GB2312"/>
          <w:b w:val="0"/>
          <w:bCs w:val="0"/>
          <w:spacing w:val="-4"/>
          <w:sz w:val="32"/>
          <w:szCs w:val="32"/>
          <w:lang w:val="en-US" w:eastAsia="zh-CN"/>
        </w:rPr>
        <w:t>5</w:t>
      </w:r>
      <w:r>
        <w:rPr>
          <w:rStyle w:val="17"/>
          <w:rFonts w:hint="eastAsia" w:ascii="仿宋_GB2312" w:hAnsi="仿宋_GB2312" w:eastAsia="仿宋_GB2312" w:cs="仿宋_GB2312"/>
          <w:b w:val="0"/>
          <w:bCs w:val="0"/>
          <w:spacing w:val="-4"/>
          <w:sz w:val="32"/>
          <w:szCs w:val="32"/>
        </w:rPr>
        <w:t>万元，预算执行率为99.</w:t>
      </w:r>
      <w:r>
        <w:rPr>
          <w:rStyle w:val="17"/>
          <w:rFonts w:hint="eastAsia" w:ascii="仿宋_GB2312" w:hAnsi="仿宋_GB2312" w:eastAsia="仿宋_GB2312" w:cs="仿宋_GB2312"/>
          <w:b w:val="0"/>
          <w:bCs w:val="0"/>
          <w:spacing w:val="-4"/>
          <w:sz w:val="32"/>
          <w:szCs w:val="32"/>
          <w:lang w:val="en-US" w:eastAsia="zh-CN"/>
        </w:rPr>
        <w:t>0</w:t>
      </w:r>
      <w:r>
        <w:rPr>
          <w:rStyle w:val="17"/>
          <w:rFonts w:hint="eastAsia" w:ascii="仿宋_GB2312" w:hAnsi="仿宋_GB2312" w:eastAsia="仿宋_GB2312" w:cs="仿宋_GB2312"/>
          <w:b w:val="0"/>
          <w:bCs w:val="0"/>
          <w:spacing w:val="-4"/>
          <w:sz w:val="32"/>
          <w:szCs w:val="32"/>
        </w:rPr>
        <w:t>%，项目资金支出总体能够按照预算执行。</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2.组织实施</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（1）管理制度健全性，满分5分，得分5分，得分率100%。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我单位制定了《伊州区委党史和文献研究室单位专项资金管理办法》等相关项目管理办法，同时对财政专项资金进行严格管理，基本做到了专款专用。</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（2）制度执行有效性，满分6分，得分6分，得分率100%。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由部门提出经费预算支出可行性方案，经过与区委分管领导沟通后，报党支部会议研究执行，财务对资金的使用合法合规性进行监督，年底对资金使用效果进行自评。</w:t>
      </w:r>
    </w:p>
    <w:p>
      <w:pPr>
        <w:spacing w:line="540" w:lineRule="exact"/>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三</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项目产出情况</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1.产出</w:t>
      </w:r>
      <w:bookmarkStart w:id="0" w:name="_GoBack"/>
      <w:bookmarkEnd w:id="0"/>
      <w:r>
        <w:rPr>
          <w:rStyle w:val="17"/>
          <w:rFonts w:hint="eastAsia" w:ascii="仿宋_GB2312" w:hAnsi="仿宋_GB2312" w:eastAsia="仿宋_GB2312" w:cs="仿宋_GB2312"/>
          <w:b w:val="0"/>
          <w:bCs w:val="0"/>
          <w:spacing w:val="-4"/>
          <w:sz w:val="32"/>
          <w:szCs w:val="32"/>
        </w:rPr>
        <w:t>数量</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“年鉴出版费、印刷费、车辆运行费”指标，满分6分，得分6分，得分率100%。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预期指标值为“≥6次”，根据财务凭证可知，实际支付次数10次，与预期目标一致。</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2.产出质量</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“地方志编纂内容准确率”指标，满分5分，得分5分，得分率100%。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预期指标值“≥95%”，根据工作总结可知地方志编纂内容准确率≥95%，与预期目标一致。</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3.产出时效</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“项目完成时间”，满分5分，得分5分，得分率100%。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预期指标值为“≥90%，该项目于2024年1月1日启动，与预期目标指标一致。</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4.产出成本</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“年鉴出版费、印刷费、车辆运行费”指标，满分X分，得分X分，得分率100%。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预期指标值为“≤15万元”，根据项目合同和资金支付凭证显示，本项目2024年年鉴书号费支付14.8</w:t>
      </w:r>
      <w:r>
        <w:rPr>
          <w:rStyle w:val="17"/>
          <w:rFonts w:hint="eastAsia" w:ascii="仿宋_GB2312" w:hAnsi="仿宋_GB2312" w:eastAsia="仿宋_GB2312" w:cs="仿宋_GB2312"/>
          <w:b w:val="0"/>
          <w:bCs w:val="0"/>
          <w:spacing w:val="-4"/>
          <w:sz w:val="32"/>
          <w:szCs w:val="32"/>
          <w:lang w:val="en-US" w:eastAsia="zh-CN"/>
        </w:rPr>
        <w:t>5</w:t>
      </w:r>
      <w:r>
        <w:rPr>
          <w:rStyle w:val="17"/>
          <w:rFonts w:hint="eastAsia" w:ascii="仿宋_GB2312" w:hAnsi="仿宋_GB2312" w:eastAsia="仿宋_GB2312" w:cs="仿宋_GB2312"/>
          <w:b w:val="0"/>
          <w:bCs w:val="0"/>
          <w:spacing w:val="-4"/>
          <w:sz w:val="32"/>
          <w:szCs w:val="32"/>
        </w:rPr>
        <w:t>万元，经费支出能够控制在绩效目标范围内。</w:t>
      </w:r>
    </w:p>
    <w:p>
      <w:pPr>
        <w:spacing w:line="540" w:lineRule="exact"/>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四</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w:t>
      </w:r>
      <w:r>
        <w:rPr>
          <w:rStyle w:val="17"/>
          <w:rFonts w:hint="eastAsia" w:ascii="仿宋_GB2312" w:hAnsi="仿宋_GB2312" w:eastAsia="仿宋_GB2312" w:cs="仿宋_GB2312"/>
          <w:spacing w:val="-4"/>
          <w:sz w:val="32"/>
          <w:szCs w:val="32"/>
          <w:lang w:val="en-US" w:eastAsia="zh-CN"/>
        </w:rPr>
        <w:t>成本</w:t>
      </w:r>
      <w:r>
        <w:rPr>
          <w:rStyle w:val="17"/>
          <w:rFonts w:hint="eastAsia" w:ascii="仿宋_GB2312" w:hAnsi="仿宋_GB2312" w:eastAsia="仿宋_GB2312" w:cs="仿宋_GB2312"/>
          <w:spacing w:val="-4"/>
          <w:sz w:val="32"/>
          <w:szCs w:val="32"/>
        </w:rPr>
        <w:t>情况</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“发挥部门职责，圆满完成项”指标，满分15分，得分15分，得分率100%。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1.历史传承。2.文化挖掘。3.文化教育。4.文化自信：。5.文化比较。6.立法与政策制定。7.弘扬民族精神。</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“保障债券人效益”指标，满分15分，得分15分，得分率100%。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预期指标值为支付2022年、2023年年鉴经费，支付2023年车辆维修费，保障债券人权益，该费用于2024年5月已支付，与预期目标指标一致。</w:t>
      </w:r>
    </w:p>
    <w:p>
      <w:pPr>
        <w:spacing w:line="540" w:lineRule="exact"/>
        <w:ind w:firstLine="567"/>
        <w:rPr>
          <w:rStyle w:val="17"/>
          <w:rFonts w:hint="eastAsia" w:ascii="仿宋_GB2312" w:hAnsi="仿宋_GB2312" w:eastAsia="仿宋_GB2312" w:cs="仿宋_GB2312"/>
          <w:b w:val="0"/>
          <w:bCs w:val="0"/>
          <w:spacing w:val="-4"/>
          <w:sz w:val="32"/>
          <w:szCs w:val="32"/>
          <w:lang w:val="en-US" w:eastAsia="zh-CN"/>
        </w:rPr>
      </w:pPr>
    </w:p>
    <w:p>
      <w:pPr>
        <w:spacing w:line="540" w:lineRule="exact"/>
        <w:rPr>
          <w:rStyle w:val="17"/>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五</w:t>
      </w: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eastAsia="zh-CN"/>
        </w:rPr>
        <w:t>满意度</w:t>
      </w:r>
      <w:r>
        <w:rPr>
          <w:rStyle w:val="17"/>
          <w:rFonts w:hint="eastAsia" w:ascii="仿宋_GB2312" w:hAnsi="仿宋_GB2312" w:eastAsia="仿宋_GB2312" w:cs="仿宋_GB2312"/>
          <w:spacing w:val="-4"/>
          <w:sz w:val="32"/>
          <w:szCs w:val="32"/>
        </w:rPr>
        <w:t>情况</w:t>
      </w:r>
    </w:p>
    <w:p>
      <w:pPr>
        <w:spacing w:line="540" w:lineRule="exact"/>
        <w:ind w:firstLine="312" w:firstLineChars="100"/>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服务对象满意度</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“债权人满意度”指标，满分8分，得分8分，得分率100%。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本次共为两家欠款单位发放调查问卷两份，债权人对伊州区委党史和文献研究室还款能力满意度为100%。</w:t>
      </w:r>
    </w:p>
    <w:p>
      <w:pPr>
        <w:spacing w:line="540" w:lineRule="exact"/>
        <w:ind w:firstLine="640"/>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lang w:val="en-US" w:eastAsia="zh-CN"/>
        </w:rPr>
        <w:t>五</w:t>
      </w:r>
      <w:r>
        <w:rPr>
          <w:rStyle w:val="17"/>
          <w:rFonts w:hint="eastAsia" w:ascii="仿宋_GB2312" w:hAnsi="仿宋_GB2312" w:eastAsia="仿宋_GB2312" w:cs="仿宋_GB2312"/>
          <w:b w:val="0"/>
          <w:spacing w:val="-4"/>
          <w:sz w:val="32"/>
          <w:szCs w:val="32"/>
        </w:rPr>
        <w:t>、主要经验及做法、存在的问题及原因分析</w:t>
      </w:r>
    </w:p>
    <w:p>
      <w:pPr>
        <w:spacing w:line="540" w:lineRule="exact"/>
        <w:ind w:left="312" w:hanging="312" w:hangingChars="1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（一）主要经验及做法</w:t>
      </w:r>
    </w:p>
    <w:p>
      <w:pPr>
        <w:spacing w:line="540" w:lineRule="exact"/>
        <w:ind w:left="313" w:leftChars="149" w:firstLine="312" w:firstLineChars="100"/>
        <w:rPr>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1、明确经费使用目的：在年鉴编纂过程中，明确经费使用的目的和方向，确保经费合理分配，主要用于资料收集、编纂、印刷等环节。</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2、制定详细的经费预算：根据年鉴编纂任务和经费总额，制定详细的经费预算，明确各个阶段的经费支出，确保经费使用透明、合理。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3、加强经费管理：加强对经费使用的监督和检查，防止浪费和滥用。</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4、积极争取财政支持：加强与政府财政部门的沟通和协调，积极争取财政支持，确保年鉴编纂经费的稳定来源。</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5、提高经费使用效率：通过优化编纂流程、降低成本、提高质量等手段，提高年鉴经费使用效率。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（二）存在问题及原因分析</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1、存在的问题</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①经费不足：年鉴编纂需要大量的人力、物力和财力投入，但目前经费来源相对有限，可能导致编纂质量受到影响。</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②财政支持不稳定：年鉴编纂经费依赖于政府财政支持，而政府财政状况波动可能导致年鉴经费不稳定，影响编纂工作。</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③编纂成本上升：随着物价上涨和市场竞争加剧，年鉴编纂成本逐渐上升，给经费保障带来压力。</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2、针对以上问题，区党史和文献研究室公室在年鉴编纂经费管理方面采取以下措施：</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①加大财政投入：积极向领导汇报，争取增加年鉴编纂经费，确保编纂工作的顺利进行。</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②规范经费管理：建立健全经费管理制度，明确经费使用范围、报销手续等，确保经费使用规范、透明。</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③提高经费使用效率：通过优化编纂流程、降低成本、提高质量等手段，提高年鉴经费使用效率。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④多元化经费来源：探索与企业、社会团体等合作，拓宽年鉴编纂经费来源，降低对政府财政的依赖。</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u w:val="dotted"/>
          <w:lang w:val="en-US" w:eastAsia="zh-CN"/>
        </w:rPr>
        <w:t>六</w:t>
      </w:r>
      <w:r>
        <w:rPr>
          <w:rStyle w:val="17"/>
          <w:rFonts w:hint="eastAsia" w:ascii="仿宋_GB2312" w:hAnsi="仿宋_GB2312" w:eastAsia="仿宋_GB2312" w:cs="仿宋_GB2312"/>
          <w:b w:val="0"/>
          <w:spacing w:val="-4"/>
          <w:sz w:val="32"/>
          <w:szCs w:val="32"/>
        </w:rPr>
        <w:t>、有关建议</w:t>
      </w:r>
    </w:p>
    <w:p>
      <w:pPr>
        <w:spacing w:line="540" w:lineRule="exact"/>
        <w:ind w:firstLine="312" w:firstLineChars="100"/>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1、完善预算管理制度：建立科学、合理的预算编制和审批流程，确保经费使用的透明度和合规性。同时，加强对预算执行情况的监督和评估，及时调整预算分配。</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2、提高经费使用效率：通过优化编纂流程、采用现代技术手段、降低成本等措施，提高年鉴经费使用效率。同时，加强与其他部门的协作，共享资源，减少重复劳动。</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3、保障编纂质量：合理分配编纂经费，确保年鉴的编纂质量。在编纂过程中，注重史料的收集和整理，保证年鉴内容的真实、客观和全面。</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4、加强人才队伍</w:t>
      </w:r>
      <w:r>
        <w:rPr>
          <w:rStyle w:val="17"/>
          <w:rFonts w:hint="eastAsia" w:ascii="仿宋_GB2312" w:hAnsi="仿宋_GB2312" w:eastAsia="仿宋_GB2312" w:cs="仿宋_GB2312"/>
          <w:b w:val="0"/>
          <w:bCs w:val="0"/>
          <w:spacing w:val="-4"/>
          <w:sz w:val="32"/>
          <w:szCs w:val="32"/>
          <w:lang w:val="en-US" w:eastAsia="zh-CN"/>
        </w:rPr>
        <w:t xml:space="preserve">de </w:t>
      </w:r>
      <w:r>
        <w:rPr>
          <w:rStyle w:val="17"/>
          <w:rFonts w:hint="eastAsia" w:ascii="仿宋_GB2312" w:hAnsi="仿宋_GB2312" w:eastAsia="仿宋_GB2312" w:cs="仿宋_GB2312"/>
          <w:b w:val="0"/>
          <w:bCs w:val="0"/>
          <w:spacing w:val="-4"/>
          <w:sz w:val="32"/>
          <w:szCs w:val="32"/>
        </w:rPr>
        <w:t>建设：加大对编纂人员的培训和激励力度，提高编纂队伍的专业素质和能力，确保年鉴编纂工作的顺利进行。</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5、拓宽经费来源：除了政府财政支持外，还可以通过与企业、社会团体等合作，争取更多的资金支持。</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6、提高年鉴影响力：通过加强宣传推广等活动，提高年鉴的社会影响力和知名度，为年鉴编纂工作创造更好的环境。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7、加强与其他地方志办公室的合作与交流：通过与其他地方。</w:t>
      </w:r>
    </w:p>
    <w:p>
      <w:pPr>
        <w:spacing w:line="540" w:lineRule="exact"/>
        <w:ind w:firstLine="640"/>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lang w:val="en-US" w:eastAsia="zh-CN"/>
        </w:rPr>
        <w:t>七</w:t>
      </w:r>
      <w:r>
        <w:rPr>
          <w:rStyle w:val="17"/>
          <w:rFonts w:hint="eastAsia" w:ascii="仿宋_GB2312" w:hAnsi="仿宋_GB2312" w:eastAsia="仿宋_GB2312" w:cs="仿宋_GB2312"/>
          <w:b w:val="0"/>
          <w:spacing w:val="-4"/>
          <w:sz w:val="32"/>
          <w:szCs w:val="32"/>
        </w:rPr>
        <w:t>、其他需要说明的问题</w:t>
      </w:r>
    </w:p>
    <w:p>
      <w:pPr>
        <w:spacing w:line="540" w:lineRule="exact"/>
        <w:ind w:firstLine="64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rPr>
          <w:rStyle w:val="17"/>
          <w:rFonts w:ascii="仿宋" w:hAnsi="仿宋" w:eastAsia="仿宋"/>
          <w:b w:val="0"/>
          <w:spacing w:val="-4"/>
          <w:sz w:val="32"/>
          <w:szCs w:val="32"/>
        </w:rPr>
      </w:pPr>
    </w:p>
    <w:sectPr>
      <w:headerReference r:id="rId4" w:type="default"/>
      <w:footerReference r:id="rId5" w:type="default"/>
      <w:pgSz w:w="11906" w:h="16838"/>
      <w:pgMar w:top="1440" w:right="1558" w:bottom="1440" w:left="175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mbria">
    <w:panose1 w:val="02040503050406030204"/>
    <w:charset w:val="00"/>
    <w:family w:val="auto"/>
    <w:pitch w:val="default"/>
    <w:sig w:usb0="E00006FF" w:usb1="420024FF" w:usb2="02000000" w:usb3="00000000" w:csb0="2000019F" w:csb1="00000000"/>
  </w:font>
  <w:font w:name="Calibri">
    <w:panose1 w:val="020F05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jc w:val="center"/>
    </w:pPr>
    <w:r>
      <w:fldChar w:fldCharType="begin"/>
    </w:r>
    <w:r>
      <w:instrText xml:space="preserve">PAGE   \* MERGEFORMAT</w:instrText>
    </w:r>
    <w:r>
      <w:fldChar w:fldCharType="separate"/>
    </w:r>
    <w:r>
      <w:rPr>
        <w:lang w:val="zh-CN"/>
      </w:rPr>
      <w:t>1</w: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586383020">
    <w:nsid w:val="D5C3DCAC"/>
    <w:multiLevelType w:val="singleLevel"/>
    <w:tmpl w:val="D5C3DCAC"/>
    <w:lvl w:ilvl="0" w:tentative="1">
      <w:start w:val="3"/>
      <w:numFmt w:val="decimal"/>
      <w:lvlText w:val="%1."/>
      <w:lvlJc w:val="left"/>
      <w:pPr>
        <w:tabs>
          <w:tab w:val="left" w:pos="312"/>
        </w:tabs>
      </w:pPr>
    </w:lvl>
  </w:abstractNum>
  <w:abstractNum w:abstractNumId="4287800356">
    <w:nsid w:val="FF92A424"/>
    <w:multiLevelType w:val="singleLevel"/>
    <w:tmpl w:val="FF92A424"/>
    <w:lvl w:ilvl="0" w:tentative="1">
      <w:start w:val="3"/>
      <w:numFmt w:val="decimal"/>
      <w:suff w:val="nothing"/>
      <w:lvlText w:val="（%1）"/>
      <w:lvlJc w:val="left"/>
    </w:lvl>
  </w:abstractNum>
  <w:abstractNum w:abstractNumId="3073100018">
    <w:nsid w:val="B72BC8F2"/>
    <w:multiLevelType w:val="singleLevel"/>
    <w:tmpl w:val="B72BC8F2"/>
    <w:lvl w:ilvl="0" w:tentative="1">
      <w:start w:val="2"/>
      <w:numFmt w:val="chineseCounting"/>
      <w:suff w:val="nothing"/>
      <w:lvlText w:val="%1、"/>
      <w:lvlJc w:val="left"/>
      <w:rPr>
        <w:rFonts w:hint="eastAsia"/>
      </w:rPr>
    </w:lvl>
  </w:abstractNum>
  <w:num w:numId="1">
    <w:abstractNumId w:val="3073100018"/>
  </w:num>
  <w:num w:numId="2">
    <w:abstractNumId w:val="4287800356"/>
  </w:num>
  <w:num w:numId="3">
    <w:abstractNumId w:val="35863830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qFormat="1"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widowControl/>
      <w:spacing w:before="240" w:after="60"/>
      <w:jc w:val="left"/>
      <w:outlineLvl w:val="0"/>
    </w:pPr>
    <w:rPr>
      <w:rFonts w:ascii="Cambria" w:hAnsi="Cambria" w:eastAsia="宋体"/>
      <w:b/>
      <w:bCs/>
      <w:kern w:val="32"/>
      <w:sz w:val="32"/>
      <w:szCs w:val="32"/>
    </w:rPr>
  </w:style>
  <w:style w:type="paragraph" w:styleId="3">
    <w:name w:val="heading 2"/>
    <w:basedOn w:val="1"/>
    <w:next w:val="1"/>
    <w:link w:val="25"/>
    <w:semiHidden/>
    <w:unhideWhenUsed/>
    <w:qFormat/>
    <w:uiPriority w:val="9"/>
    <w:pPr>
      <w:keepNext/>
      <w:widowControl/>
      <w:spacing w:before="240" w:after="60"/>
      <w:jc w:val="left"/>
      <w:outlineLvl w:val="1"/>
    </w:pPr>
    <w:rPr>
      <w:rFonts w:ascii="Cambria" w:hAnsi="Cambria" w:eastAsia="宋体"/>
      <w:b/>
      <w:bCs/>
      <w:i/>
      <w:iCs/>
      <w:kern w:val="0"/>
      <w:sz w:val="28"/>
      <w:szCs w:val="28"/>
    </w:rPr>
  </w:style>
  <w:style w:type="paragraph" w:styleId="4">
    <w:name w:val="heading 3"/>
    <w:basedOn w:val="1"/>
    <w:next w:val="1"/>
    <w:link w:val="26"/>
    <w:semiHidden/>
    <w:unhideWhenUsed/>
    <w:qFormat/>
    <w:uiPriority w:val="9"/>
    <w:pPr>
      <w:keepNext/>
      <w:widowControl/>
      <w:spacing w:before="240" w:after="60"/>
      <w:jc w:val="left"/>
      <w:outlineLvl w:val="2"/>
    </w:pPr>
    <w:rPr>
      <w:rFonts w:ascii="Cambria" w:hAnsi="Cambria" w:eastAsia="宋体"/>
      <w:b/>
      <w:bCs/>
      <w:kern w:val="0"/>
      <w:sz w:val="26"/>
      <w:szCs w:val="26"/>
    </w:rPr>
  </w:style>
  <w:style w:type="paragraph" w:styleId="5">
    <w:name w:val="heading 4"/>
    <w:basedOn w:val="1"/>
    <w:next w:val="1"/>
    <w:link w:val="27"/>
    <w:semiHidden/>
    <w:unhideWhenUsed/>
    <w:qFormat/>
    <w:uiPriority w:val="9"/>
    <w:pPr>
      <w:keepNext/>
      <w:widowControl/>
      <w:spacing w:before="240" w:after="60"/>
      <w:jc w:val="left"/>
      <w:outlineLvl w:val="3"/>
    </w:pPr>
    <w:rPr>
      <w:rFonts w:ascii="Calibri" w:hAnsi="Calibri" w:eastAsia="宋体"/>
      <w:b/>
      <w:bCs/>
      <w:kern w:val="0"/>
      <w:sz w:val="28"/>
      <w:szCs w:val="28"/>
    </w:rPr>
  </w:style>
  <w:style w:type="paragraph" w:styleId="6">
    <w:name w:val="heading 5"/>
    <w:basedOn w:val="1"/>
    <w:next w:val="1"/>
    <w:link w:val="28"/>
    <w:semiHidden/>
    <w:unhideWhenUsed/>
    <w:qFormat/>
    <w:uiPriority w:val="9"/>
    <w:pPr>
      <w:widowControl/>
      <w:spacing w:before="240" w:after="60"/>
      <w:jc w:val="left"/>
      <w:outlineLvl w:val="4"/>
    </w:pPr>
    <w:rPr>
      <w:rFonts w:ascii="Calibri" w:hAnsi="Calibri" w:eastAsia="宋体"/>
      <w:b/>
      <w:bCs/>
      <w:i/>
      <w:iCs/>
      <w:kern w:val="0"/>
      <w:sz w:val="26"/>
      <w:szCs w:val="26"/>
    </w:rPr>
  </w:style>
  <w:style w:type="paragraph" w:styleId="7">
    <w:name w:val="heading 6"/>
    <w:basedOn w:val="1"/>
    <w:next w:val="1"/>
    <w:link w:val="29"/>
    <w:semiHidden/>
    <w:unhideWhenUsed/>
    <w:qFormat/>
    <w:uiPriority w:val="9"/>
    <w:pPr>
      <w:widowControl/>
      <w:spacing w:before="240" w:after="60"/>
      <w:jc w:val="left"/>
      <w:outlineLvl w:val="5"/>
    </w:pPr>
    <w:rPr>
      <w:rFonts w:ascii="Calibri" w:hAnsi="Calibri" w:eastAsia="宋体"/>
      <w:b/>
      <w:bCs/>
      <w:kern w:val="0"/>
      <w:sz w:val="22"/>
      <w:szCs w:val="22"/>
    </w:rPr>
  </w:style>
  <w:style w:type="paragraph" w:styleId="8">
    <w:name w:val="heading 7"/>
    <w:basedOn w:val="1"/>
    <w:next w:val="1"/>
    <w:link w:val="30"/>
    <w:semiHidden/>
    <w:unhideWhenUsed/>
    <w:qFormat/>
    <w:uiPriority w:val="9"/>
    <w:pPr>
      <w:widowControl/>
      <w:spacing w:before="240" w:after="60"/>
      <w:jc w:val="left"/>
      <w:outlineLvl w:val="6"/>
    </w:pPr>
    <w:rPr>
      <w:rFonts w:ascii="Calibri" w:hAnsi="Calibri" w:eastAsia="宋体"/>
      <w:kern w:val="0"/>
      <w:sz w:val="24"/>
    </w:rPr>
  </w:style>
  <w:style w:type="paragraph" w:styleId="9">
    <w:name w:val="heading 8"/>
    <w:basedOn w:val="1"/>
    <w:next w:val="1"/>
    <w:link w:val="31"/>
    <w:semiHidden/>
    <w:unhideWhenUsed/>
    <w:qFormat/>
    <w:uiPriority w:val="9"/>
    <w:pPr>
      <w:widowControl/>
      <w:spacing w:before="240" w:after="60"/>
      <w:jc w:val="left"/>
      <w:outlineLvl w:val="7"/>
    </w:pPr>
    <w:rPr>
      <w:rFonts w:ascii="Calibri" w:hAnsi="Calibri" w:eastAsia="宋体"/>
      <w:i/>
      <w:iCs/>
      <w:kern w:val="0"/>
      <w:sz w:val="24"/>
    </w:rPr>
  </w:style>
  <w:style w:type="paragraph" w:styleId="10">
    <w:name w:val="heading 9"/>
    <w:basedOn w:val="1"/>
    <w:next w:val="1"/>
    <w:link w:val="32"/>
    <w:semiHidden/>
    <w:unhideWhenUsed/>
    <w:qFormat/>
    <w:uiPriority w:val="9"/>
    <w:pPr>
      <w:widowControl/>
      <w:spacing w:before="240" w:after="60"/>
      <w:jc w:val="left"/>
      <w:outlineLvl w:val="8"/>
    </w:pPr>
    <w:rPr>
      <w:rFonts w:ascii="Cambria" w:hAnsi="Cambria" w:eastAsia="宋体"/>
      <w:kern w:val="0"/>
      <w:sz w:val="22"/>
      <w:szCs w:val="22"/>
    </w:rPr>
  </w:style>
  <w:style w:type="character" w:default="1" w:styleId="16">
    <w:name w:val="Default Paragraph Font"/>
    <w:semiHidden/>
    <w:unhideWhenUsed/>
    <w:qFormat/>
    <w:uiPriority w:val="1"/>
  </w:style>
  <w:style w:type="paragraph" w:styleId="11">
    <w:name w:val="Balloon Text"/>
    <w:basedOn w:val="1"/>
    <w:link w:val="44"/>
    <w:semiHidden/>
    <w:unhideWhenUsed/>
    <w:qFormat/>
    <w:uiPriority w:val="99"/>
    <w:rPr>
      <w:sz w:val="18"/>
      <w:szCs w:val="18"/>
    </w:rPr>
  </w:style>
  <w:style w:type="paragraph" w:styleId="12">
    <w:name w:val="footer"/>
    <w:basedOn w:val="1"/>
    <w:link w:val="43"/>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4"/>
    <w:qFormat/>
    <w:uiPriority w:val="11"/>
    <w:pPr>
      <w:widowControl/>
      <w:spacing w:after="60"/>
      <w:jc w:val="center"/>
      <w:outlineLvl w:val="1"/>
    </w:pPr>
    <w:rPr>
      <w:rFonts w:ascii="Cambria" w:hAnsi="Cambria" w:eastAsia="宋体"/>
      <w:kern w:val="0"/>
      <w:sz w:val="24"/>
    </w:rPr>
  </w:style>
  <w:style w:type="paragraph" w:styleId="15">
    <w:name w:val="Title"/>
    <w:basedOn w:val="1"/>
    <w:next w:val="1"/>
    <w:link w:val="33"/>
    <w:qFormat/>
    <w:uiPriority w:val="10"/>
    <w:pPr>
      <w:widowControl/>
      <w:spacing w:before="240" w:after="60"/>
      <w:jc w:val="center"/>
      <w:outlineLvl w:val="0"/>
    </w:pPr>
    <w:rPr>
      <w:rFonts w:ascii="Cambria" w:hAnsi="Cambria" w:eastAsia="宋体"/>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Calibri" w:hAnsi="Calibri"/>
      <w:b/>
      <w:i/>
      <w:iCs/>
    </w:rPr>
  </w:style>
  <w:style w:type="paragraph" w:customStyle="1" w:styleId="19">
    <w:name w:val="No Spacing"/>
    <w:basedOn w:val="1"/>
    <w:qFormat/>
    <w:uiPriority w:val="1"/>
    <w:pPr>
      <w:widowControl/>
      <w:jc w:val="left"/>
    </w:pPr>
    <w:rPr>
      <w:rFonts w:ascii="Calibri" w:hAnsi="Calibri" w:eastAsia="宋体" w:cs="Times New Roman"/>
      <w:kern w:val="0"/>
      <w:sz w:val="24"/>
      <w:szCs w:val="32"/>
      <w:lang w:eastAsia="en-US" w:bidi="en-US"/>
    </w:rPr>
  </w:style>
  <w:style w:type="paragraph" w:customStyle="1" w:styleId="20">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customStyle="1" w:styleId="21">
    <w:name w:val="Quote"/>
    <w:basedOn w:val="1"/>
    <w:next w:val="1"/>
    <w:link w:val="35"/>
    <w:qFormat/>
    <w:uiPriority w:val="29"/>
    <w:pPr>
      <w:widowControl/>
      <w:jc w:val="left"/>
    </w:pPr>
    <w:rPr>
      <w:rFonts w:ascii="Calibri" w:hAnsi="Calibri" w:eastAsia="宋体"/>
      <w:i/>
      <w:kern w:val="0"/>
      <w:sz w:val="24"/>
    </w:rPr>
  </w:style>
  <w:style w:type="paragraph" w:customStyle="1" w:styleId="22">
    <w:name w:val="Intense Quote"/>
    <w:basedOn w:val="1"/>
    <w:next w:val="1"/>
    <w:link w:val="36"/>
    <w:qFormat/>
    <w:uiPriority w:val="30"/>
    <w:pPr>
      <w:widowControl/>
      <w:ind w:left="720" w:right="720"/>
      <w:jc w:val="left"/>
    </w:pPr>
    <w:rPr>
      <w:rFonts w:ascii="Calibri" w:hAnsi="Calibri" w:eastAsia="宋体"/>
      <w:b/>
      <w:i/>
      <w:kern w:val="0"/>
      <w:sz w:val="24"/>
      <w:szCs w:val="22"/>
    </w:rPr>
  </w:style>
  <w:style w:type="paragraph" w:customStyle="1" w:styleId="23">
    <w:name w:val="TOC 标题1"/>
    <w:basedOn w:val="2"/>
    <w:next w:val="1"/>
    <w:semiHidden/>
    <w:unhideWhenUsed/>
    <w:qFormat/>
    <w:uiPriority w:val="39"/>
    <w:pPr>
      <w:outlineLvl w:val="9"/>
    </w:pPr>
    <w:rPr>
      <w:lang w:eastAsia="en-US" w:bidi="en-US"/>
    </w:rPr>
  </w:style>
  <w:style w:type="character" w:customStyle="1" w:styleId="24">
    <w:name w:val="标题 1 字符"/>
    <w:basedOn w:val="16"/>
    <w:link w:val="2"/>
    <w:qFormat/>
    <w:uiPriority w:val="9"/>
    <w:rPr>
      <w:rFonts w:ascii="Cambria" w:hAnsi="Cambria" w:eastAsia="宋体"/>
      <w:b/>
      <w:bCs/>
      <w:kern w:val="32"/>
      <w:sz w:val="32"/>
      <w:szCs w:val="32"/>
    </w:rPr>
  </w:style>
  <w:style w:type="character" w:customStyle="1" w:styleId="25">
    <w:name w:val="标题 2 字符"/>
    <w:basedOn w:val="16"/>
    <w:link w:val="3"/>
    <w:semiHidden/>
    <w:qFormat/>
    <w:uiPriority w:val="9"/>
    <w:rPr>
      <w:rFonts w:ascii="Cambria" w:hAnsi="Cambria" w:eastAsia="宋体"/>
      <w:b/>
      <w:bCs/>
      <w:i/>
      <w:iCs/>
      <w:sz w:val="28"/>
      <w:szCs w:val="28"/>
    </w:rPr>
  </w:style>
  <w:style w:type="character" w:customStyle="1" w:styleId="26">
    <w:name w:val="标题 3 字符"/>
    <w:basedOn w:val="16"/>
    <w:link w:val="4"/>
    <w:semiHidden/>
    <w:qFormat/>
    <w:uiPriority w:val="9"/>
    <w:rPr>
      <w:rFonts w:ascii="Cambria" w:hAnsi="Cambria" w:eastAsia="宋体"/>
      <w:b/>
      <w:bCs/>
      <w:sz w:val="26"/>
      <w:szCs w:val="26"/>
    </w:rPr>
  </w:style>
  <w:style w:type="character" w:customStyle="1" w:styleId="27">
    <w:name w:val="标题 4 字符"/>
    <w:basedOn w:val="16"/>
    <w:link w:val="5"/>
    <w:semiHidden/>
    <w:qFormat/>
    <w:uiPriority w:val="9"/>
    <w:rPr>
      <w:b/>
      <w:bCs/>
      <w:sz w:val="28"/>
      <w:szCs w:val="28"/>
    </w:rPr>
  </w:style>
  <w:style w:type="character" w:customStyle="1" w:styleId="28">
    <w:name w:val="标题 5 字符"/>
    <w:basedOn w:val="16"/>
    <w:link w:val="6"/>
    <w:semiHidden/>
    <w:qFormat/>
    <w:uiPriority w:val="9"/>
    <w:rPr>
      <w:b/>
      <w:bCs/>
      <w:i/>
      <w:iCs/>
      <w:sz w:val="26"/>
      <w:szCs w:val="26"/>
    </w:rPr>
  </w:style>
  <w:style w:type="character" w:customStyle="1" w:styleId="29">
    <w:name w:val="标题 6 字符"/>
    <w:basedOn w:val="16"/>
    <w:link w:val="7"/>
    <w:semiHidden/>
    <w:qFormat/>
    <w:uiPriority w:val="9"/>
    <w:rPr>
      <w:b/>
      <w:bCs/>
    </w:rPr>
  </w:style>
  <w:style w:type="character" w:customStyle="1" w:styleId="30">
    <w:name w:val="标题 7 字符"/>
    <w:basedOn w:val="16"/>
    <w:link w:val="8"/>
    <w:semiHidden/>
    <w:qFormat/>
    <w:uiPriority w:val="9"/>
    <w:rPr>
      <w:sz w:val="24"/>
      <w:szCs w:val="24"/>
    </w:rPr>
  </w:style>
  <w:style w:type="character" w:customStyle="1" w:styleId="31">
    <w:name w:val="标题 8 字符"/>
    <w:basedOn w:val="16"/>
    <w:link w:val="9"/>
    <w:semiHidden/>
    <w:qFormat/>
    <w:uiPriority w:val="9"/>
    <w:rPr>
      <w:i/>
      <w:iCs/>
      <w:sz w:val="24"/>
      <w:szCs w:val="24"/>
    </w:rPr>
  </w:style>
  <w:style w:type="character" w:customStyle="1" w:styleId="32">
    <w:name w:val="标题 9 字符"/>
    <w:basedOn w:val="16"/>
    <w:link w:val="10"/>
    <w:semiHidden/>
    <w:qFormat/>
    <w:uiPriority w:val="9"/>
    <w:rPr>
      <w:rFonts w:ascii="Cambria" w:hAnsi="Cambria" w:eastAsia="宋体"/>
    </w:rPr>
  </w:style>
  <w:style w:type="character" w:customStyle="1" w:styleId="33">
    <w:name w:val="标题 字符"/>
    <w:basedOn w:val="16"/>
    <w:link w:val="15"/>
    <w:qFormat/>
    <w:uiPriority w:val="10"/>
    <w:rPr>
      <w:rFonts w:ascii="Cambria" w:hAnsi="Cambria" w:eastAsia="宋体"/>
      <w:b/>
      <w:bCs/>
      <w:kern w:val="28"/>
      <w:sz w:val="32"/>
      <w:szCs w:val="32"/>
    </w:rPr>
  </w:style>
  <w:style w:type="character" w:customStyle="1" w:styleId="34">
    <w:name w:val="副标题 字符"/>
    <w:basedOn w:val="16"/>
    <w:link w:val="14"/>
    <w:qFormat/>
    <w:uiPriority w:val="11"/>
    <w:rPr>
      <w:rFonts w:ascii="Cambria" w:hAnsi="Cambria" w:eastAsia="宋体"/>
      <w:sz w:val="24"/>
      <w:szCs w:val="24"/>
    </w:rPr>
  </w:style>
  <w:style w:type="character" w:customStyle="1" w:styleId="35">
    <w:name w:val="引用 字符"/>
    <w:basedOn w:val="16"/>
    <w:link w:val="21"/>
    <w:qFormat/>
    <w:uiPriority w:val="29"/>
    <w:rPr>
      <w:i/>
      <w:sz w:val="24"/>
      <w:szCs w:val="24"/>
    </w:rPr>
  </w:style>
  <w:style w:type="character" w:customStyle="1" w:styleId="36">
    <w:name w:val="明显引用 字符"/>
    <w:basedOn w:val="16"/>
    <w:link w:val="22"/>
    <w:qFormat/>
    <w:uiPriority w:val="30"/>
    <w:rPr>
      <w:b/>
      <w:i/>
      <w:sz w:val="24"/>
    </w:rPr>
  </w:style>
  <w:style w:type="character" w:customStyle="1" w:styleId="37">
    <w:name w:val="不明显强调1"/>
    <w:qFormat/>
    <w:uiPriority w:val="19"/>
    <w:rPr>
      <w:i/>
      <w:color w:val="56565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Cambria" w:hAnsi="Cambria" w:eastAsia="宋体"/>
      <w:b/>
      <w:i/>
      <w:sz w:val="24"/>
      <w:szCs w:val="24"/>
    </w:rPr>
  </w:style>
  <w:style w:type="character" w:customStyle="1" w:styleId="42">
    <w:name w:val="页眉 字符"/>
    <w:basedOn w:val="16"/>
    <w:link w:val="13"/>
    <w:qFormat/>
    <w:uiPriority w:val="99"/>
    <w:rPr>
      <w:rFonts w:ascii="Calibri" w:hAnsi="Calibri" w:eastAsia="宋体"/>
      <w:kern w:val="2"/>
      <w:sz w:val="18"/>
      <w:szCs w:val="18"/>
    </w:rPr>
  </w:style>
  <w:style w:type="character" w:customStyle="1" w:styleId="43">
    <w:name w:val="页脚 字符"/>
    <w:basedOn w:val="16"/>
    <w:link w:val="12"/>
    <w:qFormat/>
    <w:uiPriority w:val="99"/>
    <w:rPr>
      <w:rFonts w:ascii="Calibri" w:hAnsi="Calibri" w:eastAsia="宋体"/>
      <w:kern w:val="2"/>
      <w:sz w:val="18"/>
      <w:szCs w:val="18"/>
    </w:rPr>
  </w:style>
  <w:style w:type="character" w:customStyle="1" w:styleId="44">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7465</Words>
  <Characters>7732</Characters>
  <Lines>5</Lines>
  <Paragraphs>1</Paragraphs>
  <TotalTime>0</TotalTime>
  <ScaleCrop>false</ScaleCrop>
  <LinksUpToDate>false</LinksUpToDate>
  <CharactersWithSpaces>0</CharactersWithSpaces>
  <Application>WPS Office 专业版_8.1.0.0_{F1E327BC-269C-435d-A152-05C5408002CA}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2025-11-06T14:34:01Z</dcterms:modified>
  <dc:title>附件2：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2052-8.1.0.0</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