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160"/>
        </w:tabs>
        <w:kinsoku/>
        <w:wordWrap/>
        <w:overflowPunct/>
        <w:topLinePunct w:val="0"/>
        <w:autoSpaceDE/>
        <w:autoSpaceDN/>
        <w:bidi w:val="0"/>
        <w:adjustRightInd/>
        <w:snapToGrid/>
        <w:spacing w:line="580" w:lineRule="exact"/>
        <w:ind w:firstLine="883"/>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883"/>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883"/>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723"/>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723"/>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726"/>
        <w:jc w:val="center"/>
        <w:textAlignment w:val="auto"/>
        <w:rPr>
          <w:rFonts w:eastAsia="方正小标宋简体"/>
          <w:color w:val="00000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firstLine="726"/>
        <w:jc w:val="center"/>
        <w:textAlignment w:val="auto"/>
        <w:rPr>
          <w:rFonts w:eastAsia="方正小标宋简体"/>
          <w:color w:val="000000"/>
          <w:sz w:val="32"/>
          <w:szCs w:val="32"/>
        </w:rPr>
      </w:pPr>
    </w:p>
    <w:p>
      <w:pPr>
        <w:widowControl w:val="0"/>
        <w:spacing w:before="0" w:after="140" w:line="276" w:lineRule="auto"/>
        <w:jc w:val="both"/>
        <w:rPr>
          <w:rFonts w:hint="eastAsia" w:ascii="Calibri" w:hAnsi="Calibri" w:eastAsia="宋体" w:cs="Times New Roman"/>
          <w:kern w:val="2"/>
          <w:sz w:val="21"/>
          <w:szCs w:val="24"/>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32"/>
          <w:szCs w:val="32"/>
        </w:rPr>
      </w:pPr>
      <w:r>
        <w:rPr>
          <w:rFonts w:hint="default" w:ascii="Times New Roman" w:hAnsi="Times New Roman" w:eastAsia="仿宋_GB2312" w:cs="Times New Roman"/>
          <w:color w:val="000000"/>
          <w:sz w:val="32"/>
          <w:szCs w:val="32"/>
          <w:lang w:eastAsia="zh-CN" w:bidi="ar"/>
        </w:rPr>
        <w:t>伊区</w:t>
      </w:r>
      <w:r>
        <w:rPr>
          <w:rFonts w:hint="default" w:ascii="Times New Roman" w:hAnsi="Times New Roman" w:eastAsia="仿宋_GB2312" w:cs="Times New Roman"/>
          <w:color w:val="000000"/>
          <w:sz w:val="32"/>
          <w:szCs w:val="32"/>
          <w:lang w:bidi="ar"/>
        </w:rPr>
        <w:t>政办发</w:t>
      </w: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default" w:ascii="Times New Roman" w:hAnsi="Times New Roman" w:eastAsia="仿宋_GB2312" w:cs="Times New Roman"/>
          <w:color w:val="000000"/>
          <w:sz w:val="32"/>
          <w:szCs w:val="32"/>
          <w:lang w:bidi="ar"/>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关于印发《伊州区行政许可事项清单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（2023年版）》的通知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60" w:lineRule="exact"/>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区直各相关部门（单位）：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公布&lt;法律、行政法规、国务院决定设定的行政许可事项清单（2023年版）&gt;的通知》《新疆维吾尔自治区人民政府办公厅关于印发自治区行政许可事项清单（2023年版）的通知》《关于印发&lt;哈密市行政许可事项清单&gt;（2023年版）的通知》要求，伊州区积极组织开展行政许可事项清单调整工作，认领由上级设定伊州区实施的行政许可事项222项、新增伊州区本级实施的行政许可事项1</w:t>
      </w:r>
      <w:r>
        <w:rPr>
          <w:rFonts w:hint="eastAsia" w:ascii="仿宋_GB2312" w:hAnsi="仿宋_GB2312" w:eastAsia="仿宋_GB2312" w:cs="仿宋_GB2312"/>
          <w:sz w:val="32"/>
          <w:szCs w:val="32"/>
          <w:lang w:val="en-US" w:eastAsia="zh"/>
        </w:rPr>
        <w:t>1</w:t>
      </w:r>
      <w:r>
        <w:rPr>
          <w:rFonts w:hint="eastAsia" w:ascii="仿宋_GB2312" w:hAnsi="仿宋_GB2312" w:eastAsia="仿宋_GB2312" w:cs="仿宋_GB2312"/>
          <w:sz w:val="32"/>
          <w:szCs w:val="32"/>
        </w:rPr>
        <w:t>项，并对照哈密市、伊州区现行有效的地方性法规、规章进一步完善，编制形成《伊州区行政许可事项清单（2023年版）》。目前，《伊州区行政许可事项清单（2023年版）》已经区政府研究同意，现印发给你们。请你们结合各自职责，细化完善行政许可实施规范，严格依法依规实施，推进政务服务标准化、规范化、便利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附件：伊州区行政许可事项清单（2023年版） 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tabs>
          <w:tab w:val="left" w:pos="7780"/>
        </w:tabs>
        <w:kinsoku/>
        <w:wordWrap/>
        <w:overflowPunct/>
        <w:topLinePunct w:val="0"/>
        <w:autoSpaceDE/>
        <w:autoSpaceDN/>
        <w:bidi w:val="0"/>
        <w:adjustRightInd/>
        <w:snapToGrid/>
        <w:spacing w:line="560" w:lineRule="exact"/>
        <w:ind w:right="-506" w:rightChars="-24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伊州区人民政府办公室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2024年2月22日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sectPr>
          <w:footerReference r:id="rId3" w:type="default"/>
          <w:pgSz w:w="11906" w:h="16838"/>
          <w:pgMar w:top="1814" w:right="1531" w:bottom="1701" w:left="1531" w:header="851" w:footer="992" w:gutter="0"/>
          <w:pgNumType w:fmt="numberInDash"/>
          <w:cols w:space="425" w:num="1"/>
          <w:docGrid w:type="lines" w:linePitch="312" w:charSpace="0"/>
        </w:sectPr>
      </w:pPr>
      <w:r>
        <w:rPr>
          <w:rFonts w:hint="eastAsia" w:ascii="仿宋_GB2312" w:hAnsi="仿宋_GB2312" w:eastAsia="仿宋_GB2312" w:cs="仿宋_GB2312"/>
          <w:b w:val="0"/>
          <w:bCs w:val="0"/>
          <w:sz w:val="32"/>
          <w:szCs w:val="32"/>
          <w:lang w:val="en-US" w:eastAsia="zh"/>
        </w:rPr>
        <w:t>(</w:t>
      </w:r>
      <w:r>
        <w:rPr>
          <w:rFonts w:hint="eastAsia" w:ascii="仿宋_GB2312" w:hAnsi="仿宋_GB2312" w:eastAsia="仿宋_GB2312" w:cs="仿宋_GB2312"/>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ascii="黑体" w:hAnsi="黑体" w:eastAsia="黑体"/>
          <w:sz w:val="32"/>
          <w:szCs w:val="32"/>
        </w:rPr>
        <w:t>附件</w:t>
      </w:r>
    </w:p>
    <w:tbl>
      <w:tblPr>
        <w:tblStyle w:val="11"/>
        <w:tblW w:w="13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215"/>
        <w:gridCol w:w="2359"/>
        <w:gridCol w:w="1481"/>
        <w:gridCol w:w="6144"/>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35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伊州区行政许可事项清单（2023年版）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35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上级设定、伊州区实施的行政许可事项清单（23</w:t>
            </w:r>
            <w:r>
              <w:rPr>
                <w:rFonts w:hint="eastAsia" w:ascii="宋体" w:hAnsi="宋体" w:cs="宋体"/>
                <w:i w:val="0"/>
                <w:color w:val="000000"/>
                <w:kern w:val="0"/>
                <w:sz w:val="24"/>
                <w:szCs w:val="24"/>
                <w:u w:val="none"/>
                <w:lang w:val="en-US" w:eastAsia="zh-CN" w:bidi="ar"/>
              </w:rPr>
              <w:t>3</w:t>
            </w:r>
            <w:bookmarkStart w:id="0" w:name="_GoBack"/>
            <w:bookmarkEnd w:id="0"/>
            <w:r>
              <w:rPr>
                <w:rFonts w:hint="eastAsia" w:ascii="宋体" w:hAnsi="宋体" w:eastAsia="宋体" w:cs="宋体"/>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区级主管部门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许可事项名称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实施机关</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设定和实施依据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固定资产投资项目核准（含国发〔</w:t>
            </w:r>
            <w:r>
              <w:rPr>
                <w:rStyle w:val="15"/>
                <w:lang w:val="en-US" w:eastAsia="zh-CN" w:bidi="ar"/>
              </w:rPr>
              <w:t>2016〕72号文件规定的外商投资项目）</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区人民政府（新建项目由区发展和改革委员会承办；技术改造项目由区科工信局承办）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《企业投资项目核准和备案管理条例》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《国务院关于发布政府核准的投资项目目录（2016年本）的通知》        （国发〔2016〕72号）                                                                 《新疆维吾尔自治区核准条例》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固定资产投资项目节能审查</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区发展和改革委员会（负责上报企业节能报告）</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《中华人民共和国节约能源法》</w:t>
            </w:r>
            <w:r>
              <w:rPr>
                <w:rStyle w:val="15"/>
                <w:lang w:val="en-US" w:eastAsia="zh-CN" w:bidi="ar"/>
              </w:rPr>
              <w:br w:type="textWrapping"/>
            </w:r>
            <w:r>
              <w:rPr>
                <w:rStyle w:val="15"/>
                <w:lang w:val="en-US" w:eastAsia="zh-CN" w:bidi="ar"/>
              </w:rPr>
              <w:t>《固定资产投资项目节能审查办法》（国家发展改革委令2016年第44号）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在电力设施周围或者电力设施保护区内进行可能危及电力设施安全作业审批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《中华人民共和国电力法》</w:t>
            </w:r>
            <w:r>
              <w:rPr>
                <w:rStyle w:val="15"/>
                <w:lang w:val="en-US" w:eastAsia="zh-CN" w:bidi="ar"/>
              </w:rPr>
              <w:br w:type="textWrapping"/>
            </w:r>
            <w:r>
              <w:rPr>
                <w:rStyle w:val="15"/>
                <w:lang w:val="en-US" w:eastAsia="zh-CN" w:bidi="ar"/>
              </w:rPr>
              <w:t>《电力设施保护条例》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固定资产投资项目核准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区人民政府（由区发展和改革委员会承办）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《企业投资项目核准和备案管理条例》</w:t>
            </w:r>
            <w:r>
              <w:rPr>
                <w:rStyle w:val="15"/>
                <w:lang w:val="en-US" w:eastAsia="zh-CN" w:bidi="ar"/>
              </w:rPr>
              <w:br w:type="textWrapping"/>
            </w:r>
            <w:r>
              <w:rPr>
                <w:rStyle w:val="15"/>
                <w:lang w:val="en-US" w:eastAsia="zh-CN" w:bidi="ar"/>
              </w:rPr>
              <w:t>《国务院关于发布政府核准的投资项目目录（2016年本）的通知》</w:t>
            </w:r>
            <w:r>
              <w:rPr>
                <w:rStyle w:val="15"/>
                <w:rFonts w:hint="eastAsia"/>
                <w:lang w:val="en-US" w:eastAsia="zh-CN" w:bidi="ar"/>
              </w:rPr>
              <w:t xml:space="preserve">        </w:t>
            </w:r>
            <w:r>
              <w:rPr>
                <w:rStyle w:val="15"/>
                <w:lang w:val="en-US" w:eastAsia="zh-CN" w:bidi="ar"/>
              </w:rPr>
              <w:t>（国发〔2016〕72号）                                                                 《新疆维吾尔自治区核准条例》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新建不能满足管道保护要求的石油天然气管道防护方案审批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《中华人民共和国石油天然气管道保护法》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可能影响石油天然气管道保护的施工作业审核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区发展和改革委员会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《中华人民共和国石油天然气管道保护法》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民办、中外合作开办中等及以下学校和其他教育机构筹设审批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《中华人民共和国民办教育促进法》</w:t>
            </w:r>
            <w:r>
              <w:rPr>
                <w:rStyle w:val="15"/>
                <w:lang w:val="en-US" w:eastAsia="zh-CN" w:bidi="ar"/>
              </w:rPr>
              <w:br w:type="textWrapping"/>
            </w:r>
            <w:r>
              <w:rPr>
                <w:rStyle w:val="15"/>
                <w:lang w:val="en-US" w:eastAsia="zh-CN" w:bidi="ar"/>
              </w:rPr>
              <w:t>《中华人民共和国中外合作办学条例》</w:t>
            </w:r>
            <w:r>
              <w:rPr>
                <w:rStyle w:val="15"/>
                <w:lang w:val="en-US" w:eastAsia="zh-CN" w:bidi="ar"/>
              </w:rPr>
              <w:br w:type="textWrapping"/>
            </w:r>
            <w:r>
              <w:rPr>
                <w:rStyle w:val="15"/>
                <w:lang w:val="en-US" w:eastAsia="zh-CN" w:bidi="ar"/>
              </w:rPr>
              <w:t>《国务院关于当前发展学前教育的若干意见》（国发〔2010〕41号）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中等及以下学校和其他教育机构设置审批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《中华人民共和国教育法》</w:t>
            </w:r>
            <w:r>
              <w:rPr>
                <w:rStyle w:val="15"/>
                <w:lang w:val="en-US" w:eastAsia="zh-CN" w:bidi="ar"/>
              </w:rPr>
              <w:br w:type="textWrapping"/>
            </w:r>
            <w:r>
              <w:rPr>
                <w:rStyle w:val="15"/>
                <w:lang w:val="en-US" w:eastAsia="zh-CN" w:bidi="ar"/>
              </w:rPr>
              <w:t>《中华人民共和国民办教育促进法》</w:t>
            </w:r>
            <w:r>
              <w:rPr>
                <w:rStyle w:val="15"/>
                <w:lang w:val="en-US" w:eastAsia="zh-CN" w:bidi="ar"/>
              </w:rPr>
              <w:br w:type="textWrapping"/>
            </w:r>
            <w:r>
              <w:rPr>
                <w:rStyle w:val="15"/>
                <w:lang w:val="en-US" w:eastAsia="zh-CN" w:bidi="ar"/>
              </w:rPr>
              <w:t>《中华人民共和国民办教育促进法实施条例》</w:t>
            </w:r>
            <w:r>
              <w:rPr>
                <w:rStyle w:val="15"/>
                <w:lang w:val="en-US" w:eastAsia="zh-CN" w:bidi="ar"/>
              </w:rPr>
              <w:br w:type="textWrapping"/>
            </w:r>
            <w:r>
              <w:rPr>
                <w:rStyle w:val="15"/>
                <w:lang w:val="en-US" w:eastAsia="zh-CN" w:bidi="ar"/>
              </w:rPr>
              <w:t>《中华人民共和国中外合作办学条例》</w:t>
            </w:r>
            <w:r>
              <w:rPr>
                <w:rStyle w:val="15"/>
                <w:lang w:val="en-US" w:eastAsia="zh-CN" w:bidi="ar"/>
              </w:rPr>
              <w:br w:type="textWrapping"/>
            </w:r>
            <w:r>
              <w:rPr>
                <w:rStyle w:val="15"/>
                <w:lang w:val="en-US" w:eastAsia="zh-CN" w:bidi="ar"/>
              </w:rPr>
              <w:t>《国务院关于当前发展学前教育的若干意见》（国发〔2010〕41号）</w:t>
            </w:r>
            <w:r>
              <w:rPr>
                <w:rStyle w:val="15"/>
                <w:lang w:val="en-US" w:eastAsia="zh-CN" w:bidi="ar"/>
              </w:rPr>
              <w:br w:type="textWrapping"/>
            </w:r>
            <w:r>
              <w:rPr>
                <w:rStyle w:val="15"/>
                <w:lang w:val="en-US" w:eastAsia="zh-CN" w:bidi="ar"/>
              </w:rPr>
              <w:t>《中共中央 国务院关于学前教育深化改革规范发展的若干意见》</w:t>
            </w:r>
            <w:r>
              <w:rPr>
                <w:rStyle w:val="15"/>
                <w:rFonts w:hint="eastAsia"/>
                <w:lang w:val="en-US" w:eastAsia="zh-CN" w:bidi="ar"/>
              </w:rPr>
              <w:t xml:space="preserve">       </w:t>
            </w:r>
            <w:r>
              <w:rPr>
                <w:rStyle w:val="15"/>
                <w:lang w:val="en-US" w:eastAsia="zh-CN" w:bidi="ar"/>
              </w:rPr>
              <w:t>（中发〔2018〕39号）</w:t>
            </w:r>
            <w:r>
              <w:rPr>
                <w:rStyle w:val="15"/>
                <w:lang w:val="en-US" w:eastAsia="zh-CN" w:bidi="ar"/>
              </w:rPr>
              <w:br w:type="textWrapping"/>
            </w:r>
            <w:r>
              <w:rPr>
                <w:rStyle w:val="15"/>
                <w:lang w:val="en-US" w:eastAsia="zh-CN" w:bidi="ar"/>
              </w:rPr>
              <w:t>《国务院办公厅关于规范校外培训机构发展的意见》（国办发〔2018〕80号）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从事文艺、体育等专业训练的社会组织自行实施义务教育审批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《中华人民共和国义务教育法》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校车使用许可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区人民政府（由区教育局会同区公安局、区交通运输局承办）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《校车安全管理条例》</w:t>
            </w:r>
            <w:r>
              <w:rPr>
                <w:rStyle w:val="15"/>
                <w:lang w:val="en-US" w:eastAsia="zh-CN" w:bidi="ar"/>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教师资格认定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《中华人民共和国教师法》</w:t>
            </w:r>
            <w:r>
              <w:rPr>
                <w:rStyle w:val="15"/>
                <w:lang w:val="en-US" w:eastAsia="zh-CN" w:bidi="ar"/>
              </w:rPr>
              <w:br w:type="textWrapping"/>
            </w:r>
            <w:r>
              <w:rPr>
                <w:rStyle w:val="15"/>
                <w:lang w:val="en-US" w:eastAsia="zh-CN" w:bidi="ar"/>
              </w:rPr>
              <w:t>《教师资格条例》</w:t>
            </w:r>
            <w:r>
              <w:rPr>
                <w:rStyle w:val="15"/>
                <w:lang w:val="en-US" w:eastAsia="zh-CN" w:bidi="ar"/>
              </w:rPr>
              <w:br w:type="textWrapping"/>
            </w:r>
            <w:r>
              <w:rPr>
                <w:rStyle w:val="15"/>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适龄儿童、少年因身体状况需要延缓入学或者休学审批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区教育局，乡镇政府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《中华人民共和国义务教育法》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民用枪支及枪支主要零部件、弹药配置许可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《中华人民共和国枪支管理法》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举行集会游行示威许可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《中华人民共和国集会游行示威法》</w:t>
            </w:r>
            <w:r>
              <w:rPr>
                <w:rStyle w:val="15"/>
                <w:lang w:val="en-US" w:eastAsia="zh-CN" w:bidi="ar"/>
              </w:rPr>
              <w:br w:type="textWrapping"/>
            </w:r>
            <w:r>
              <w:rPr>
                <w:rStyle w:val="15"/>
                <w:lang w:val="en-US" w:eastAsia="zh-CN" w:bidi="ar"/>
              </w:rPr>
              <w:t>《中华人民共和国集会游行示威法实施条例》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大型群众性活动安全许可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《中华人民共和国消防法》</w:t>
            </w:r>
            <w:r>
              <w:rPr>
                <w:rStyle w:val="15"/>
                <w:lang w:val="en-US" w:eastAsia="zh-CN" w:bidi="ar"/>
              </w:rPr>
              <w:br w:type="textWrapping"/>
            </w:r>
            <w:r>
              <w:rPr>
                <w:rStyle w:val="15"/>
                <w:lang w:val="en-US" w:eastAsia="zh-CN" w:bidi="ar"/>
              </w:rPr>
              <w:t>《大型群众性活动安全管理条例》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公章刻制业特种行业许可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《印铸刻字业暂行管理规则》</w:t>
            </w:r>
            <w:r>
              <w:rPr>
                <w:rStyle w:val="15"/>
                <w:lang w:val="en-US" w:eastAsia="zh-CN" w:bidi="ar"/>
              </w:rPr>
              <w:br w:type="textWrapping"/>
            </w:r>
            <w:r>
              <w:rPr>
                <w:rStyle w:val="15"/>
                <w:lang w:val="en-US" w:eastAsia="zh-CN" w:bidi="ar"/>
              </w:rPr>
              <w:t>《国务院对确需保留的行政审批项目设定行政许可的决定》</w:t>
            </w:r>
            <w:r>
              <w:rPr>
                <w:rStyle w:val="15"/>
                <w:lang w:val="en-US" w:eastAsia="zh-CN" w:bidi="ar"/>
              </w:rPr>
              <w:br w:type="textWrapping"/>
            </w:r>
            <w:r>
              <w:rPr>
                <w:rStyle w:val="15"/>
                <w:lang w:val="en-US" w:eastAsia="zh-CN" w:bidi="ar"/>
              </w:rPr>
              <w:t>《公安部关于深化娱乐服务场所和特种行业治安管理改革进一步依法加强事中事后监管的工作意见》(公治〔2017〕529号）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旅馆业特种行业许可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《旅馆业治安管理办法》</w:t>
            </w:r>
            <w:r>
              <w:rPr>
                <w:rStyle w:val="15"/>
                <w:lang w:val="en-US" w:eastAsia="zh-CN" w:bidi="ar"/>
              </w:rPr>
              <w:br w:type="textWrapping"/>
            </w:r>
            <w:r>
              <w:rPr>
                <w:rStyle w:val="15"/>
                <w:lang w:val="en-US" w:eastAsia="zh-CN" w:bidi="ar"/>
              </w:rPr>
              <w:t>《国务院对确需保留的行政审批项目设定行政许可的决定》</w:t>
            </w:r>
            <w:r>
              <w:rPr>
                <w:rStyle w:val="15"/>
                <w:lang w:val="en-US" w:eastAsia="zh-CN" w:bidi="ar"/>
              </w:rPr>
              <w:br w:type="textWrapping"/>
            </w:r>
            <w:r>
              <w:rPr>
                <w:rStyle w:val="15"/>
                <w:lang w:val="en-US" w:eastAsia="zh-CN" w:bidi="ar"/>
              </w:rPr>
              <w:t>《公安部关于深化娱乐服务场所和特种行业治安管理改革进一步依法加强事中事后监管的工作意见》(公治〔2017〕529号）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互联网上网服务营业场所信息网络安全审核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《互联网上网服务营业场所管理条例》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举办焰火晚会及其他大型焰火燃放活动许可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《烟花爆竹安全管理条例》</w:t>
            </w:r>
            <w:r>
              <w:rPr>
                <w:rStyle w:val="15"/>
                <w:lang w:val="en-US" w:eastAsia="zh-CN" w:bidi="ar"/>
              </w:rPr>
              <w:br w:type="textWrapping"/>
            </w:r>
            <w:r>
              <w:rPr>
                <w:rStyle w:val="15"/>
                <w:lang w:val="en-US" w:eastAsia="zh-CN" w:bidi="ar"/>
              </w:rPr>
              <w:t>《公安部办公厅关于贯彻执行&lt;大型焰火燃放作业人员资格条件及管理&gt;和</w:t>
            </w:r>
            <w:r>
              <w:rPr>
                <w:rStyle w:val="15"/>
                <w:rFonts w:hint="eastAsia"/>
                <w:lang w:val="en-US" w:eastAsia="zh-CN" w:bidi="ar"/>
              </w:rPr>
              <w:t xml:space="preserve"> </w:t>
            </w:r>
            <w:r>
              <w:rPr>
                <w:rStyle w:val="15"/>
                <w:lang w:val="en-US" w:eastAsia="zh-CN" w:bidi="ar"/>
              </w:rPr>
              <w:t>&lt;大型焰火燃放作业单位资质条件及管理&gt;有关事项的通知（公治〔2010〕</w:t>
            </w:r>
            <w:r>
              <w:rPr>
                <w:rStyle w:val="15"/>
                <w:rFonts w:hint="eastAsia"/>
                <w:lang w:val="en-US" w:eastAsia="zh-CN" w:bidi="ar"/>
              </w:rPr>
              <w:t xml:space="preserve">   </w:t>
            </w:r>
            <w:r>
              <w:rPr>
                <w:rStyle w:val="15"/>
                <w:lang w:val="en-US" w:eastAsia="zh-CN" w:bidi="ar"/>
              </w:rPr>
              <w:t>592号）》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烟花爆竹道路运输许可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《烟花爆竹安全管理条例》</w:t>
            </w:r>
            <w:r>
              <w:rPr>
                <w:rStyle w:val="15"/>
                <w:lang w:val="en-US" w:eastAsia="zh-CN" w:bidi="ar"/>
              </w:rPr>
              <w:br w:type="textWrapping"/>
            </w:r>
            <w:r>
              <w:rPr>
                <w:rStyle w:val="15"/>
                <w:lang w:val="en-US" w:eastAsia="zh-CN" w:bidi="ar"/>
              </w:rPr>
              <w:t>《关于优化烟花爆竹道路运输许可审批进一步深化烟花爆竹“放管服”改革工作的通知》（公治安明发〔2019〕218号）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民用爆炸物品购买许可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《民用爆炸物品安全管理条例》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民用爆炸物品运输许可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《民用爆炸物品安全管理条例》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剧毒化学品购买许可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《危险化学品安全管理条例》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剧毒化学品道路运输通行许可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《危险化学品安全管理条例》</w:t>
            </w:r>
            <w:r>
              <w:rPr>
                <w:rStyle w:val="15"/>
                <w:lang w:val="en-US" w:eastAsia="zh-CN" w:bidi="ar"/>
              </w:rPr>
              <w:br w:type="textWrapping"/>
            </w:r>
            <w:r>
              <w:rPr>
                <w:rStyle w:val="15"/>
                <w:lang w:val="en-US" w:eastAsia="zh-CN" w:bidi="ar"/>
              </w:rPr>
              <w:t>《剧毒化学品购买和公路运输许可证件管理办法》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放射性物品道路运输许可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《中华人民共和国核安全法》</w:t>
            </w:r>
            <w:r>
              <w:rPr>
                <w:rStyle w:val="15"/>
                <w:lang w:val="en-US" w:eastAsia="zh-CN" w:bidi="ar"/>
              </w:rPr>
              <w:br w:type="textWrapping"/>
            </w:r>
            <w:r>
              <w:rPr>
                <w:rStyle w:val="15"/>
                <w:lang w:val="en-US" w:eastAsia="zh-CN" w:bidi="ar"/>
              </w:rPr>
              <w:t>《放射性物品运输安全管理条例》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运输危险化学品的车辆进入危险化学品运输车辆限制通行区域审批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《危险化学品安全管理条例》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易制毒化学品购买许可（除第一类中的药品类易制毒化学品外）</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《中华人民共和国禁毒法》</w:t>
            </w:r>
            <w:r>
              <w:rPr>
                <w:rStyle w:val="15"/>
                <w:lang w:val="en-US" w:eastAsia="zh-CN" w:bidi="ar"/>
              </w:rPr>
              <w:br w:type="textWrapping"/>
            </w:r>
            <w:r>
              <w:rPr>
                <w:rStyle w:val="15"/>
                <w:lang w:val="en-US" w:eastAsia="zh-CN" w:bidi="ar"/>
              </w:rPr>
              <w:t>《易制毒化学品管理条例》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易制毒化学品运输许可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《中华人民共和国禁毒法》</w:t>
            </w:r>
            <w:r>
              <w:rPr>
                <w:rStyle w:val="15"/>
                <w:lang w:val="en-US" w:eastAsia="zh-CN" w:bidi="ar"/>
              </w:rPr>
              <w:br w:type="textWrapping"/>
            </w:r>
            <w:r>
              <w:rPr>
                <w:rStyle w:val="15"/>
                <w:lang w:val="en-US" w:eastAsia="zh-CN" w:bidi="ar"/>
              </w:rPr>
              <w:t>《易制毒化学品管理条例》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金融机构营业场所和金库安全防范设施建设方案审批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Style w:val="15"/>
                <w:lang w:val="en-US" w:eastAsia="zh-CN" w:bidi="ar"/>
              </w:rPr>
              <w:br w:type="textWrapping"/>
            </w:r>
            <w:r>
              <w:rPr>
                <w:rStyle w:val="15"/>
                <w:lang w:val="en-US" w:eastAsia="zh-CN" w:bidi="ar"/>
              </w:rPr>
              <w:t>《金融机构营业场所和金库安全防范设施建设许可实施办法》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金融机构营业场所和金库安全防范设施建设工程验收</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Style w:val="15"/>
                <w:lang w:val="en-US" w:eastAsia="zh-CN" w:bidi="ar"/>
              </w:rPr>
              <w:br w:type="textWrapping"/>
            </w:r>
            <w:r>
              <w:rPr>
                <w:rStyle w:val="15"/>
                <w:lang w:val="en-US" w:eastAsia="zh-CN" w:bidi="ar"/>
              </w:rPr>
              <w:t>《金融机构营业场所和金库安全防范设施建设许可实施办法》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机动车登记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Style w:val="15"/>
                <w:lang w:val="en-US" w:eastAsia="zh-CN" w:bidi="ar"/>
              </w:rPr>
              <w:br w:type="textWrapping"/>
            </w:r>
            <w:r>
              <w:rPr>
                <w:rStyle w:val="15"/>
                <w:lang w:val="en-US" w:eastAsia="zh-CN" w:bidi="ar"/>
              </w:rPr>
              <w:t>《中华人民共和国道路交通安全法实施条例》</w:t>
            </w:r>
            <w:r>
              <w:rPr>
                <w:rStyle w:val="15"/>
                <w:lang w:val="en-US" w:eastAsia="zh-CN" w:bidi="ar"/>
              </w:rPr>
              <w:br w:type="textWrapping"/>
            </w:r>
            <w:r>
              <w:rPr>
                <w:rStyle w:val="15"/>
                <w:lang w:val="en-US" w:eastAsia="zh-CN" w:bidi="ar"/>
              </w:rPr>
              <w:t>《机动车登记规定》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机动车临时通行牌证核发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Style w:val="15"/>
                <w:lang w:val="en-US" w:eastAsia="zh-CN" w:bidi="ar"/>
              </w:rPr>
              <w:br w:type="textWrapping"/>
            </w:r>
            <w:r>
              <w:rPr>
                <w:rStyle w:val="15"/>
                <w:lang w:val="en-US" w:eastAsia="zh-CN" w:bidi="ar"/>
              </w:rPr>
              <w:t>《中华人民共和国道路交通安全法实施条例》</w:t>
            </w:r>
            <w:r>
              <w:rPr>
                <w:rStyle w:val="15"/>
                <w:lang w:val="en-US" w:eastAsia="zh-CN" w:bidi="ar"/>
              </w:rPr>
              <w:br w:type="textWrapping"/>
            </w:r>
            <w:r>
              <w:rPr>
                <w:rStyle w:val="15"/>
                <w:lang w:val="en-US" w:eastAsia="zh-CN" w:bidi="ar"/>
              </w:rPr>
              <w:t>《机动车登记规定》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机动车检验合格标志核发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Style w:val="15"/>
                <w:lang w:val="en-US" w:eastAsia="zh-CN" w:bidi="ar"/>
              </w:rPr>
              <w:br w:type="textWrapping"/>
            </w:r>
            <w:r>
              <w:rPr>
                <w:rStyle w:val="15"/>
                <w:lang w:val="en-US" w:eastAsia="zh-CN" w:bidi="ar"/>
              </w:rPr>
              <w:t>《中华人民共和国道路交通安全法实施条例》</w:t>
            </w:r>
            <w:r>
              <w:rPr>
                <w:rStyle w:val="15"/>
                <w:lang w:val="en-US" w:eastAsia="zh-CN" w:bidi="ar"/>
              </w:rPr>
              <w:br w:type="textWrapping"/>
            </w:r>
            <w:r>
              <w:rPr>
                <w:rStyle w:val="15"/>
                <w:lang w:val="en-US" w:eastAsia="zh-CN" w:bidi="ar"/>
              </w:rPr>
              <w:t>《机动车登记规定》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机动车驾驶证核发、审验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Style w:val="15"/>
                <w:lang w:val="en-US" w:eastAsia="zh-CN" w:bidi="ar"/>
              </w:rPr>
              <w:br w:type="textWrapping"/>
            </w:r>
            <w:r>
              <w:rPr>
                <w:rStyle w:val="15"/>
                <w:lang w:val="en-US" w:eastAsia="zh-CN" w:bidi="ar"/>
              </w:rPr>
              <w:t>《中华人民共和国道路交通安全法实施条例》</w:t>
            </w:r>
            <w:r>
              <w:rPr>
                <w:rStyle w:val="15"/>
                <w:lang w:val="en-US" w:eastAsia="zh-CN" w:bidi="ar"/>
              </w:rPr>
              <w:br w:type="textWrapping"/>
            </w:r>
            <w:r>
              <w:rPr>
                <w:rStyle w:val="15"/>
                <w:lang w:val="en-US" w:eastAsia="zh-CN" w:bidi="ar"/>
              </w:rPr>
              <w:t>《机动车驾驶证申领和使用规定》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校车驾驶资格许可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《校车安全管理条例》</w:t>
            </w:r>
            <w:r>
              <w:rPr>
                <w:rStyle w:val="15"/>
                <w:lang w:val="en-US" w:eastAsia="zh-CN" w:bidi="ar"/>
              </w:rPr>
              <w:br w:type="textWrapping"/>
            </w:r>
            <w:r>
              <w:rPr>
                <w:rStyle w:val="15"/>
                <w:lang w:val="en-US" w:eastAsia="zh-CN" w:bidi="ar"/>
              </w:rPr>
              <w:t>《机动车驾驶证申领和使用规定》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非机动车登记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涉路施工交通安全审查</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Style w:val="15"/>
                <w:lang w:val="en-US" w:eastAsia="zh-CN" w:bidi="ar"/>
              </w:rPr>
              <w:br w:type="textWrapping"/>
            </w:r>
            <w:r>
              <w:rPr>
                <w:rStyle w:val="15"/>
                <w:lang w:val="en-US" w:eastAsia="zh-CN" w:bidi="ar"/>
              </w:rPr>
              <w:t>《中华人民共和国公路法》</w:t>
            </w:r>
            <w:r>
              <w:rPr>
                <w:rStyle w:val="15"/>
                <w:lang w:val="en-US" w:eastAsia="zh-CN" w:bidi="ar"/>
              </w:rPr>
              <w:br w:type="textWrapping"/>
            </w:r>
            <w:r>
              <w:rPr>
                <w:rStyle w:val="15"/>
                <w:lang w:val="en-US" w:eastAsia="zh-CN" w:bidi="ar"/>
              </w:rPr>
              <w:t>《城市道路管理条例》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户口迁移审批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《中华人民共和国户口登记条例》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犬类准养证核发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w:t>
            </w:r>
            <w:r>
              <w:rPr>
                <w:rStyle w:val="15"/>
                <w:lang w:val="en-US" w:eastAsia="zh-CN" w:bidi="ar"/>
              </w:rPr>
              <w:br w:type="textWrapping"/>
            </w:r>
            <w:r>
              <w:rPr>
                <w:rStyle w:val="15"/>
                <w:lang w:val="en-US" w:eastAsia="zh-CN" w:bidi="ar"/>
              </w:rPr>
              <w:t>《中华人民共和国传染病防治法实施办法》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普通护照签发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区公安局（出入境管理大队受国家移民局委托实施）</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《中华人民共和国护照法》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出入境通行证签发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区公安局（出入境管理大队受国家移民局委托实施）</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《中华人民共和国护照法》</w:t>
            </w:r>
            <w:r>
              <w:rPr>
                <w:rStyle w:val="15"/>
                <w:lang w:val="en-US" w:eastAsia="zh-CN" w:bidi="ar"/>
              </w:rPr>
              <w:t xml:space="preserve">                                                        《中国公民因私事往来香港地区或者澳门地区的暂行管理办法》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边境管理区通行证核发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内地居民前往港澳通行证、往来港澳通行证及签注签发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区公安局（出入境管理大队，受中华人民共和国出入境管理局委托实施）</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《中国公民因私事往来香港地区或者澳门地区的暂行管理办法》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大陆居民往来台湾通行证及签注签发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区公安局（出入境管理大队，受中华人民共和国出入境管理局委托实施）</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《中国公民往来台湾地区管理办法》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台湾居民来往大陆通行证签发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区公安局（出入境管理大队，受中华人民共和国出入境管理局委托实施）</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《中国公民往来台湾地区管理办法》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社会团体成立、变更、注销登记及修改章程核准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区民政局（实行登记管理机关和业务主管单位双重负责管理体制的，由有关业务主管单位实施前置审查）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《社会团体登记管理条例》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民办非企业单位成立、变更、注销登记及修改章程核准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区民政局（实行登记管理机关和业务主管单位双重负责管理体制的，由有关业务主管单位实施前置审查）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《民办非企业单位登记管理暂行条例》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宗教活动场所法人成立、变更、注销登记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区民政局（由区委统战部区民族宗教事务局实施前置审查）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慈善组织公开募捐资格审批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《中华人民共和国慈善法》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殡葬设施建设审批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区人民政府，区民政局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《殡葬管理条例》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建设农村公益性墓地审批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区民政局（乡级人民政府审核后，报区民政局审批）</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《殡葬管理条例》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地名命名、更名审批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区民政局（负责审核）</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《地名管理条例》</w:t>
            </w:r>
            <w:r>
              <w:rPr>
                <w:rStyle w:val="15"/>
                <w:lang w:val="en-US" w:eastAsia="zh-CN" w:bidi="ar"/>
              </w:rPr>
              <w:br w:type="textWrapping"/>
            </w:r>
            <w:r>
              <w:rPr>
                <w:rStyle w:val="15"/>
                <w:lang w:val="en-US" w:eastAsia="zh-CN" w:bidi="ar"/>
              </w:rPr>
              <w:t>《地名管理条例实施细则》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区财政局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中介机构从事代理记账业务审批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区财政局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《中华人民共和国会计法》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《代理记账管理办法》（财政部令第98号）</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《新疆维吾尔自治区人民政府关于取消和调整行政审批事项的决定》    （新政发〔2014〕4号）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职业培训学校筹设审批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《中华人民共和国民办教育促进法》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《中华人民共和国中外合作办学条例》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职业培训学校办学许可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《中华人民共和国民办教育促进法》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《中华人民共和国中外合作办学条例》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人力资源服务许可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《中华人民共和国就业促进法》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《人力资源市场暂行条例》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劳务派遣经营许可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《中华人民共和国劳动合同法》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《劳务派遣行政许可实施办法》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企业实行不定时工作制和综合计算工时工作制审批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区人力资源和社会保障局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《中华人民共和国劳动法》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《关于企业实行不定时工作制和综合计算工时工作制的审批办法》      （劳部发〔1994〕503号)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建筑工程施工许可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《中华人民共和国建筑法》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《建筑工程施工许可管理办法》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商品房预售许可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《中华人民共和国城市房地产管理法》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城镇污水排入排水管网许可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《城镇排水与污水处理条例》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拆除、改动、迁移城市公共供水设施审核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《城市供水条例》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拆除、改动城镇排水与污水处理设施审核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《城镇排水与污水处理条例》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由于工程施工、设备维修等原因确需停止供水的审批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《城市供水条例》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燃气经营许可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《城镇燃气管理条例》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燃气经营者改动市政燃气设施审批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《城镇燃气管理条例》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《国务院关于第六批取消和调整行政审批项目的决定》（国发〔2021〕52号）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市政设施建设类审批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区人民政府（由区住房和城乡建设局承办），区住房和城乡建设局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《城市道路管理条例》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特殊车辆在城市道路上行驶审批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《城市道路管理条例》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改变绿化规划、绿化用地的使用性质审批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工程建设涉及城市绿地、树木审批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《城市绿化条例》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历史建筑实施原址保护审批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区住房和城乡建设局会同文物部门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《历史文化名城名镇名村保护条例》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历史文化街区、名镇、名村核心保护范围内拆除历史建筑以外的建筑物、构筑物或者其他设施审批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区住房和城乡建设局会同文物部门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《历史文化名城名镇名村保护条例》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历史建筑外部修缮装饰、添加设施以及改变历史建筑的结构或者使用性质审批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区住房和城乡建设局会同文物部门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《历史文化名城名镇名村保护条例》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建设工程消防设计审查</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《中华人民共和国消防法》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《建设工程消防设计审查验收管理暂行规定》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建设工程消防验收</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《中华人民共和国消防法》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《建设工程消防设计审查验收管理暂行规定》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建筑起重机械使用登记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《中华人民共和国特种设备安全法》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《建设工程安全生产管理条例》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区住房和城乡建设局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市政公用事业特许经营许可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区人民政府（由区住房和城乡建设局承办）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《新疆维吾尔自治区市政公用事业特许经营条例》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设置大型户外广告及在城市建筑物、设施上悬挂、张贴宣传品审批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《城市市容和环境卫生管理条例》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临时性建筑物搭建、堆放物料、占道施工审批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《城市市容和环境卫生管理条例》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关闭、闲置、拆除城市环境卫生设施许可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《中华人民共和国固体废物污染环境防治法》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拆除环境卫生设施许可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《城市市容和环境卫生管理条例》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从事城市生活垃圾经营性清扫、收集、运输、处理服务审批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城市建筑垃圾处置核准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区城市管理行政执法局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公路建设项目设计文件审批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《建设工程质量管理条例》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《建设工程勘察设计管理条例》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《农村公路建设管理办法》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公路建设项目施工许可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《公路建设市场管理办法》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公路建设项目竣工验收</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《收费公路管理条例》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《公路工程竣（交）工验收办法》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《农村公路建设管理办法》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公路超限运输许可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《公路安全保护条例》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《超限运输车辆行驶公路管理规定》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涉路施工许可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《公路安全保护条例》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《路政管理规定》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更新采伐护路林审批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《公路安全保护条例》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《路政管理规定》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出租汽车经营许可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《巡游出租汽车经营服务管理规定》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《网络预约出租汽车经营服务管理暂行办法》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出租汽车车辆运营证核发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《巡游出租汽车经营服务管理规定》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《网络预约出租汽车经营服务管理暂行办法》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设置或者撤销内河渡口审批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《中华人民共和国内河交通安全管理条例》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船员适任证书核发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《中华人民共和国海上交通安全法》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《中华人民共和国船员条例》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占用国防交通控制范围土地审批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《中华人民共和国国防交通法》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《国防交通条例》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公路用地范围内设置非公路标志的许可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《中华人民共和国公路法》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内河专用航标设置、撤除、位置移动和其他状况改变审批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《中华人民共和国航标条例》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《中华人民共和国航道管理条例》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船舶国籍登记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《中华人民共和国海上交通安全法》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《中华人民共和国船舶登记条例》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《交通运输部办公厅关于全面推行直属海事系统权责清单制度的通知》  （交办海〔2018〕19号）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公共汽车客运经营许可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区交通运输局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《新疆维吾尔自治区道路运输条例》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水利基建项目初步设计文件审批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取水许可</w:t>
            </w:r>
          </w:p>
        </w:tc>
        <w:tc>
          <w:tcPr>
            <w:tcW w:w="14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《中华人民共和国水法》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《取水许可和水资源费征收管理条例》</w:t>
            </w:r>
          </w:p>
        </w:tc>
        <w:tc>
          <w:tcPr>
            <w:tcW w:w="160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洪水影响评价类审批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《中华人民共和国水法》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《中华人民共和国防洪法》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《中华人民共和国河道管理条例》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《中华人民共和国水文条例》</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河道管理范围内特定活动审批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《中华人民共和国河道管理条例》《中华人民共和国行政许可法》        《水行政许可实施办法》（水利部令第23号）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河道采砂许可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《中华人民共和国水法》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《中华人民共和国长江保护法》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《中华人民共和国河道管理条例》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《长江河道采砂管理条例》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生产建设项目水土保持方案审批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《中华人民共和国水土保持法》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农村集体经济组织修建水库审批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《中华人民共和国水法》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城市建设填堵水域、废除围堤审批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《中华人民共和国防洪法》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占用农业灌溉水源、灌排工程设施审批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利用堤顶、戗台兼做公路审批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《中华人民共和国河道管理条例》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坝顶兼做公路审批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《水库大坝安全管理条例》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蓄滞洪区避洪设施建设审批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大坝管理和保护范围内修建码头、鱼塘许可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区水利局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《水库大坝安全管理条例》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农药经营许可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《农药管理条例》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兽药经营许可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《兽药管理条例》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农作物种子生产经营许可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《中华人民共和国种子法》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《农业转基因生物安全管理条例》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《农作物种子生产经营许可管理办法》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食用菌菌种生产经营许可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《中华人民共和国种子法》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《食用菌菌种管理办法》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使用低于国家或地方规定的种用标准的农作物种子审批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《中华人民共和国种子法》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种畜禽生产经营许可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《中华人民共和国畜牧法》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《农业转基因生物安全管理条例》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《养蜂管理办法（试行）》（农业部公告第1692号）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蚕种生产经营许可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区农业农村局（受理自治区农业农村厅审批事项）</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《中华人民共和国畜牧法》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《蚕种管理办法》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农业植物检疫证书核发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《植物检疫条例》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农业植物产地检疫合格证签发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《植物检疫条例》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农业野生植物采集、出售、收购、野外考察审批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区农业农村局（负责受理）</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《中华人民共和国野生植物保护条例》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动物及动物产品检疫合格证核发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《动物检疫管理办法》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动物防疫条件合格证核发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《动物防疫条件审查办法》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向无规定动物疫区输入易感动物、动物产品的检疫审批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《动物检疫管理办法》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动物诊疗许可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《动物诊疗机构管理办法》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生鲜乳收购站许可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《乳品质量安全监督管理条例》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生鲜乳准运证明核发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《乳品质量安全监督管理条例》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拖拉机和联合收割机驾驶证核发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《农业机械安全监督管理条例》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拖拉机和联合收割机登记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《中华人民共和国道路交通安全法》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《农业机械安全监督管理条例》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工商企业等社会资本通过流转取得土地经营权审批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区人民政府（由区农业农村局承办），乡镇人民政府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《中华人民共和国农村土地承包法》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《农村土地经营权流转管理办法》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渔业船舶船员证书核发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《中华人民共和国渔港水域交通安全管理条例》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《中华人民共和国渔业船员管理办法》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水产苗种生产经营审批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《水产苗种管理办法》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《农业转基因生物安全管理条例》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水域滩涂养殖证核发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区人民政府（由区农业农村部门承办）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《中华人民共和国渔业法》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渔业船网工具指标审批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《渔业捕捞许可管理规定》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渔业捕捞许可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《中华人民共和国渔业法实施细则》</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《渔业捕捞许可管理规定》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专用航标的设置、撤除、位置移动和其他状况改变审批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《中华人民共和国航标条例》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《渔业航标管理办法》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渔港内新建、改建、扩建设施或者其他水上、水下施工审批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《中华人民共和国渔港水域交通安全管理条例》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渔港内易燃、易爆、有毒等危险品装卸审批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《中华人民共和国渔港水域交通安全管理条例》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《中华人民共和国内河交通安全管理条例》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渔业船舶国籍登记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《中华人民共和国船舶登记条例》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《中华人民共和国渔港水域交通安全管理条例》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《中华人民共和国渔业船舶登记办法》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水产苗种产地检疫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《中华人民共和国动物防疫法》《水产苗种管理办法》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大型工程机械设备驾驶证、操作证核发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《新疆维吾尔自治区大型工程机械设备和车辆安全监督管理办法》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回收报废农业机械经营企业资格认定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《新疆维吾尔自治区农业机械化促进条例》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大型工程机械设备牌证核发及变更登记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《新疆维吾尔自治区大型工程机械设备和车辆安全监督管理办法》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乡镇以下小型屠宰点设置审批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区农业农村局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《生猪屠宰管理条例》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《新疆维吾尔自治区畜禽屠宰管理条例》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文艺表演团体设立审批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《营业性演出管理条例》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营业性演出审批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《营业性演出管理条例》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《营业性演出管理条例实施细则》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娱乐场所经营活动审批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《娱乐场所管理条例》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互联网上网服务营业场所筹建审批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《互联网上网服务营业场所管理条例》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互联网上网服务经营活动审批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《互联网上网服务营业场所管理条例》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建筑工程文物保护许可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区文化体育广播电视和旅游局（负责受理）</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《中华人民共和国文物保护法》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文物保护单位原址保护措施审批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《中华人民共和国文物保护法》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核定为文物保护单位的属于国家所有的纪念建筑物或者古建筑改变用途审批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区文化体育广播电视和旅游局（负责受理）</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《中华人民共和国文物保护法》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不可移动文物修缮审批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《中华人民共和国文物保护法》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非国有文物收藏单位和其他单位借用国有馆藏文物审批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《中华人民共和国文物保护法》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博物馆处理不够入藏标准、无保存价值的文物或标本审批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区文化体育广播电视和旅游局（负责受理）</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广播电视专用频段频率使用许可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区文化体育广播电视和旅游局（受理广电总局审批事项并逐级上报）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广播电台、电视台设立、终止审批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区文化体育广播电视和旅游局（受理广电总局审批事项并逐级上报）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广播电台、电视台变更台名、台标、节目设置范围或节目套数审批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区文化体育广播电视和旅游局（受理自治区广播电视局审批事项并逐级上报）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乡镇设立广播电视站和机关、部队、团体、企业事业单位设立有线广播电视站审批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区文化体育广播电视和旅游局（初审自治区广播电视局审批事项）</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《广播电视站审批管理暂行规定》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有线广播电视传输覆盖网工程验收审核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广播电视视频点播业务审批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区文化体育广播电视和旅游局（受理自治区广播电视局审批事项并逐级上报）</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《广播电视视频点播业务管理办法》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卫星电视广播地面接收设施安装服务许可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区文化体育广播电视和旅游局（初审自治区广播电视局审批事项）</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《卫星电视广播地面接收设施管理规定》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《卫星电视广播地面接收设施安装服务暂行办法》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《广电总局关于设立卫星地面接收设施安装服务机构审批事项的通知》  （广发〔2010〕24号）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设置卫星电视广播地面接收设施审批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区文化体育广播电视和旅游局（初审自治区广播电视局审批事项）</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《广播电视管理条例》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《卫星电视广播地面接收设施管理规定》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举办健身气功活动及设立站点审批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《健身气功管理办法》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高危险性体育项目经营许可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《中华人民共和国体育法》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《全民健身条例》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临时占用公共体育设施审批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《中华人民共和国体育法》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举办高危险性体育赛事活动许可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区文化体育广播电视和旅游局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《中华人民共和国体育法》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出版物零售业务经营许可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《出版管理条例》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单位内部设立印刷厂登记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《印刷业管理条例》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《出版管理条例》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内部资料性出版物准印证核发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《印刷业管理条例》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《出版管理条例》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电影放映单位设立审批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区委宣传部</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《中华人民共和国电影产业促进法》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《电影管理条例》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《外商投资电影院暂行规定》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饮用水供水单位卫生许可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《中华人民共和国传染病防治法》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公共场所卫生许可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《公共场所卫生管理条例》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医疗机构建设项目放射性职业病危害预评价报告审核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《中华人民共和国职业病防治法》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《放射诊疗管理规定》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医疗机构建设项目放射性职业病防护设施竣工验收</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《中华人民共和国职业病防治法》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《放射诊疗管理规定》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医疗机构设置审批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医疗机构执业登记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《医疗机构管理条例》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母婴保健技术服务机构执业许可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《中华人民共和国母婴保健法》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《中华人民共和国母婴保健法实施办法》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《母婴保健专项技术服务许可及人员资格管理办法》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放射源诊疗技术和医用辐射机构许可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《放射性同位素与射线装置安全和防护条例》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《放射诊疗管理规定》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单采血浆站设置审批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《血液制品管理条例》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医师执业注册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《中华人民共和国医师法》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《医师执业注册管理办法》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乡村医生执业注册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《乡村医生从业管理条例》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母婴保健服务人员资格认定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《中华人民共和国母婴保健法》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《中华人民共和国母婴保健法实施办法》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《母婴保健专项技术服务许可及人员资格管理办法》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护士执业注册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《护士条例》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确有专长的中医医师资格认定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《中华人民共和国中医药法》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《中医医术确有专长人员医师资格考核注册管理暂行办法》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确有专长的中医医师执业注册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《中华人民共和国中医药法》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《中医医术确有专长人员医师资格考核注册管理暂行办法》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中医医疗机构设置审批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《中华人民共和国中医药法》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《医疗机构管理条例》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中医医疗机构执业登记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区卫生健康委员会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《中华人民共和国中医药法》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《医疗机构管理条例》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区应急管理局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危险化学品经营许可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区应急管理局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《危险化学品安全管理条例》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《危险化学品经营许可证管理办法》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区应急管理局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烟花爆竹经营许可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区应急管理局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《烟花爆竹安全管理条例》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《烟花爆竹经营许可实施办法》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区消防救援大队</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公众聚集场所投入使用、营业前消防安全检查</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区消防救援</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大队</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《中华人民共和国消防法》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区税务局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增值税防伪税控系统最高开票限额审批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区税务局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《国务院对确需保留的行政审批项目设定行政许可的决定》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食品生产许可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《中华人民共和国食品安全法》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《食品生产许可管理办法》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食品添加剂生产许可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《中华人民共和国食品安全法》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《食品生产许可管理办法》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食品经营许可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《中华人民共和国食品安全法》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《食品经营许可和备案管理办法》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特种设备使用登记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《中华人民共和国特种设备安全法》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《特种设备安全监察条例》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特种设备安全管理和作业人员资格认定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《中华人民共和国特种设备安全法》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《特种设备安全监察条例》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《特种设备作业人员监督管理办法》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《国家职业资格目录（2021年版）》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计量标准器具核准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《中华人民共和国计量法》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《中华人民共和国计量法实施细则》</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《计量标准考核办法》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承担国家法定计量检定机构任务授权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《中华人民共和国计量法》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《中华人民共和国计量法实施细则》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企业登记注册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《中华人民共和国公司法》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《中华人民共和国合伙企业法》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《中华人民共和国个人独资企业法》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《中华人民共和国外商投资法》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《中华人民共和国外商投资法实施条例》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个体工商户登记注册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《促进个体工商户发展条例》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农民专业合作社登记注册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《中华人民共和国农民专业合作社法》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《中华人民共和国市场主体登记管理条例实施细则》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药品零售企业经营许可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《中华人民共和国药品管理法》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《中华人民共和国药品管理法实施条例》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科研和教学用毒性药品购买审批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《医疗用毒性药品管理办法》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食品小作坊、小餐饮店、小杂食店登记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区市场监督管理局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《新疆维吾尔自治区食品小作坊、小餐饮店、小杂食店和食品摊贩管理条例》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宗教活动场所筹备设立审批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乡级人民政府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宗教活动场所设立、变更、注销登记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区委统战部（民族宗教事务局）、乡级人民政府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宗教活动场所内改建或者新建建筑物许可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区委统战部（民族宗教事务局）、乡级人民政府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《宗教事务部分行政许可项目实施办法》（国宗发〔2018〕11号）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209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28"/>
              </w:tabs>
              <w:jc w:val="left"/>
              <w:textAlignment w:val="center"/>
              <w:rPr>
                <w:rFonts w:hint="eastAsia" w:ascii="方正仿宋_GBK" w:hAnsi="方正仿宋_GBK" w:eastAsia="方正仿宋_GBK" w:cs="方正仿宋_GBK"/>
                <w:i w:val="0"/>
                <w:color w:val="000000"/>
                <w:kern w:val="0"/>
                <w:sz w:val="18"/>
                <w:szCs w:val="18"/>
                <w:u w:val="none"/>
                <w:lang w:val="en-US" w:eastAsia="zh" w:bidi="ar"/>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民族成份变更</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《中国公民民族成份登记管理办法》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Times New Roman" w:hAnsi="Times New Roman" w:cs="Times New Roman"/>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宗教临时活动地点审批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区委统战部（民族宗教事务局）、乡级人民政府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清真食品生产经营许可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区委统战部（民族宗教事务局）、清真食品协会</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《新疆维吾尔自治区清真食品管理条例》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华侨回国定居审批(初审)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《中华人民共和国出境入境管理法》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《国务院侨办、公安部、外交部关于印发&lt;华侨回国定居办理工作规定&gt;的通知》（国侨发〔2013〕18号）                                          《国务院侨办、公安部、外交部关于简化和规范华侨回国定居办理工作的通知》（国侨发〔2019〕2号）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区委统战部（区民族宗教事务局）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宗教团体、宗教活动场所接受境外捐赠审批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区委统战部（民族宗教事务局）、乡级人民政府</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《宗教事务条例》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《宗教事务部分行政许可项目实施办法》（国宗发〔2018〕11号）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雷电防护装置设计审核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《气象灾害防御条例》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雷电防护装置竣工验收</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《气象灾害防御条例》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升放无人驾驶自由气球或者系留气球活动审批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区气象局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《通用航空飞行管制条例》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《国务院关于第六批取消和调整行政审批项目的决定》（国发〔2012〕52号）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区烟草专卖局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烟草专卖零售许可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区烟草专卖局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《中华人民共和国烟草专卖法》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《中华人民共和国烟草专卖法实施条例》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林草种子生产经营许可证核发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《中华人民共和国种子法》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ascii="Times New Roman" w:hAnsi="Times New Roman" w:cs="Times New Roman"/>
                <w:i w:val="0"/>
                <w:color w:val="000000"/>
                <w:kern w:val="0"/>
                <w:sz w:val="18"/>
                <w:szCs w:val="1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林草植物检疫证书核发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区林草局（植物检疫机构）</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《植物检疫条例》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Times New Roman" w:hAnsi="Times New Roman" w:cs="Times New Roman"/>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建设项目使用林地及在森林和野生动物类型国家级自然保护区建设审批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《中华人民共和国森林法》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《中华人民共和国森林法实施条例》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《森林和野生动物类型自然保护区管理办法》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建设项目使用草原审核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《中华人民共和国草原法》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林木采伐许可证核发</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《中华人民共和国森林法》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《中华人民共和国森林法实施条例》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从事营利性治沙活动许可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《中华人民共和国防沙治沙法》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在风景名胜区内从事建设、设置广告、举办大型游乐活动以及其他影响生态和景观活动许可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《风景名胜区条例》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猎捕陆生野生动物审批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《中华人民共和国野生动物保护法》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《中华人民共和国陆生野生动物保护实施条例》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森林草原防火期内在森林草原防火区野外用火审批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区县级人民政府（由区林草局承办）</w:t>
            </w:r>
          </w:p>
        </w:tc>
        <w:tc>
          <w:tcPr>
            <w:tcW w:w="6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《森林防火条例》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《草原防火条例》</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森林草原防火期内在森林草原防火区爆破、勘察和施工等活动审批</w:t>
            </w:r>
          </w:p>
        </w:tc>
        <w:tc>
          <w:tcPr>
            <w:tcW w:w="14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《森林防火条例》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《草原防火条例》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《关于取消和调整行政审批事项的决定》（新政发〔2013〕72号）</w:t>
            </w:r>
          </w:p>
        </w:tc>
        <w:tc>
          <w:tcPr>
            <w:tcW w:w="160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进入森林高火险区、草原防火管制区审批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区人民政府（由区林草局承办），区林草局</w:t>
            </w:r>
          </w:p>
        </w:tc>
        <w:tc>
          <w:tcPr>
            <w:tcW w:w="614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《森林防火条例》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《草原防火条例》</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r>
              <w:rPr>
                <w:rFonts w:hint="eastAsia" w:ascii="Times New Roman" w:hAnsi="Times New Roman" w:cs="Times New Roman"/>
                <w:i w:val="0"/>
                <w:color w:val="000000"/>
                <w:kern w:val="0"/>
                <w:sz w:val="18"/>
                <w:szCs w:val="1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工商企业等社会资本通过流转取得林地经营权审批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区人民政府（由区林草局承办）</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《中华人民共和国农村土地承包法》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Times New Roman" w:hAnsi="Times New Roman" w:cs="Times New Roman"/>
                <w:i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权限内利用森林资源开展旅游活动或者建立森林公园的审批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《新疆维吾尔自治区实施</w:t>
            </w:r>
            <w:r>
              <w:rPr>
                <w:rStyle w:val="15"/>
                <w:lang w:val="en-US" w:eastAsia="zh-CN" w:bidi="ar"/>
              </w:rPr>
              <w:t>&lt;中华人民共和国森林法&gt;办法》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r>
              <w:rPr>
                <w:rFonts w:hint="eastAsia" w:ascii="Times New Roman" w:hAnsi="Times New Roman" w:cs="Times New Roman"/>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天山自然遗产地内开展活动的审批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区林草局（天山自然遗产管理机构）</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《新疆维吾尔自治区天山自然遗产地保护条例》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《关于将20项自治区级林业和草原权责事项委托地级林业和草原主管部门实施的决定》（新疆维吾尔自治区人民政府令第228号）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r>
              <w:rPr>
                <w:rFonts w:hint="eastAsia" w:ascii="Times New Roman" w:hAnsi="Times New Roman" w:cs="Times New Roman"/>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区委办（区档案局）</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延期移交档案审批</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区委办（区档案局）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《中华人民共和国档案法实施办法》</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r>
              <w:rPr>
                <w:rFonts w:hint="eastAsia" w:ascii="Times New Roman" w:hAnsi="Times New Roman" w:cs="Times New Roman"/>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区委编办</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事业单位登记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区委编办（区事业单位登记管理局）</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《事业单位登记管理暂行条例》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《事业单位登记管理暂行条例实施细则》（中央编办发〔2014〕4号）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bl>
    <w:p>
      <w:pPr>
        <w:pStyle w:val="5"/>
        <w:sectPr>
          <w:pgSz w:w="16838" w:h="11906" w:orient="landscape"/>
          <w:pgMar w:top="1531" w:right="1814" w:bottom="1531" w:left="1701" w:header="851" w:footer="992" w:gutter="0"/>
          <w:pgNumType w:fmt="numberInDash"/>
          <w:cols w:space="425" w:num="1"/>
          <w:docGrid w:type="lines" w:linePitch="312" w:charSpace="0"/>
        </w:sect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tbl>
      <w:tblPr>
        <w:tblStyle w:val="12"/>
        <w:tblpPr w:leftFromText="180" w:rightFromText="180" w:vertAnchor="text" w:horzAnchor="page" w:tblpX="1627" w:tblpY="94"/>
        <w:tblOverlap w:val="never"/>
        <w:tblW w:w="8522"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noWrap w:val="0"/>
            <w:vAlign w:val="top"/>
          </w:tcPr>
          <w:p>
            <w:pPr>
              <w:pStyle w:val="16"/>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eastAsia="仿宋_GB2312"/>
                <w:color w:val="000000"/>
                <w:spacing w:val="0"/>
                <w:w w:val="100"/>
                <w:sz w:val="28"/>
                <w:szCs w:val="28"/>
                <w:vertAlign w:val="baseline"/>
                <w:lang w:val="en-US" w:eastAsia="zh-CN"/>
              </w:rPr>
            </w:pPr>
            <w:r>
              <w:rPr>
                <w:rFonts w:hint="eastAsia" w:ascii="仿宋_GB2312" w:hAnsi="仿宋_GB2312" w:eastAsia="仿宋_GB2312" w:cs="仿宋_GB2312"/>
                <w:color w:val="000000"/>
                <w:spacing w:val="0"/>
                <w:w w:val="100"/>
                <w:sz w:val="28"/>
                <w:szCs w:val="28"/>
              </w:rPr>
              <w:t xml:space="preserve">  </w:t>
            </w:r>
            <w:r>
              <w:rPr>
                <w:rFonts w:hint="eastAsia" w:cs="仿宋_GB2312"/>
                <w:color w:val="000000"/>
                <w:spacing w:val="0"/>
                <w:w w:val="100"/>
                <w:sz w:val="28"/>
                <w:szCs w:val="28"/>
                <w:lang w:eastAsia="zh-CN"/>
              </w:rPr>
              <w:t>抄</w:t>
            </w:r>
            <w:r>
              <w:rPr>
                <w:rFonts w:hint="eastAsia" w:ascii="仿宋_GB2312" w:hAnsi="仿宋_GB2312" w:eastAsia="仿宋_GB2312" w:cs="仿宋_GB2312"/>
                <w:color w:val="000000"/>
                <w:spacing w:val="0"/>
                <w:w w:val="100"/>
                <w:sz w:val="28"/>
                <w:szCs w:val="28"/>
              </w:rPr>
              <w:t>送：区委办、人大办、政协办</w:t>
            </w:r>
            <w:r>
              <w:rPr>
                <w:rFonts w:hint="eastAsia" w:cs="仿宋_GB2312"/>
                <w:color w:val="000000"/>
                <w:spacing w:val="0"/>
                <w:w w:val="100"/>
                <w:sz w:val="28"/>
                <w:szCs w:val="28"/>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noWrap w:val="0"/>
            <w:vAlign w:val="top"/>
          </w:tcPr>
          <w:p>
            <w:pPr>
              <w:pStyle w:val="16"/>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default"/>
                <w:color w:val="000000"/>
                <w:spacing w:val="0"/>
                <w:w w:val="100"/>
                <w:sz w:val="28"/>
                <w:szCs w:val="28"/>
                <w:vertAlign w:val="baseline"/>
                <w:lang w:val="en-US" w:eastAsia="zh-CN"/>
              </w:rPr>
            </w:pPr>
            <w:r>
              <w:rPr>
                <w:rFonts w:hint="eastAsia" w:ascii="仿宋_GB2312" w:hAnsi="仿宋_GB2312" w:eastAsia="仿宋_GB2312" w:cs="仿宋_GB2312"/>
                <w:color w:val="000000"/>
                <w:spacing w:val="0"/>
                <w:w w:val="100"/>
                <w:sz w:val="28"/>
                <w:szCs w:val="28"/>
                <w:lang w:val="en-US" w:eastAsia="zh-CN"/>
              </w:rPr>
              <w:t xml:space="preserve">  哈密市伊州区人民政府办公室             20</w:t>
            </w:r>
            <w:r>
              <w:rPr>
                <w:rFonts w:hint="eastAsia" w:cs="仿宋_GB2312"/>
                <w:color w:val="000000"/>
                <w:spacing w:val="0"/>
                <w:w w:val="100"/>
                <w:sz w:val="28"/>
                <w:szCs w:val="28"/>
                <w:lang w:val="en-US" w:eastAsia="zh-CN"/>
              </w:rPr>
              <w:t>24</w:t>
            </w:r>
            <w:r>
              <w:rPr>
                <w:rFonts w:hint="eastAsia" w:ascii="仿宋_GB2312" w:hAnsi="仿宋_GB2312" w:eastAsia="仿宋_GB2312" w:cs="仿宋_GB2312"/>
                <w:color w:val="000000"/>
                <w:spacing w:val="0"/>
                <w:w w:val="100"/>
                <w:sz w:val="28"/>
                <w:szCs w:val="28"/>
                <w:lang w:val="en-US" w:eastAsia="zh-CN"/>
              </w:rPr>
              <w:t>年</w:t>
            </w:r>
            <w:r>
              <w:rPr>
                <w:rFonts w:hint="eastAsia" w:cs="仿宋_GB2312"/>
                <w:color w:val="000000"/>
                <w:spacing w:val="0"/>
                <w:w w:val="100"/>
                <w:sz w:val="28"/>
                <w:szCs w:val="28"/>
                <w:lang w:val="en-US" w:eastAsia="zh-CN"/>
              </w:rPr>
              <w:t>2</w:t>
            </w:r>
            <w:r>
              <w:rPr>
                <w:rFonts w:hint="eastAsia" w:ascii="仿宋_GB2312" w:hAnsi="仿宋_GB2312" w:eastAsia="仿宋_GB2312" w:cs="仿宋_GB2312"/>
                <w:color w:val="000000"/>
                <w:spacing w:val="0"/>
                <w:w w:val="100"/>
                <w:sz w:val="28"/>
                <w:szCs w:val="28"/>
                <w:lang w:val="en-US" w:eastAsia="zh-CN"/>
              </w:rPr>
              <w:t>月</w:t>
            </w:r>
            <w:r>
              <w:rPr>
                <w:rFonts w:hint="eastAsia" w:cs="仿宋_GB2312"/>
                <w:color w:val="000000"/>
                <w:spacing w:val="0"/>
                <w:w w:val="100"/>
                <w:sz w:val="28"/>
                <w:szCs w:val="28"/>
                <w:lang w:val="en-US" w:eastAsia="zh-CN"/>
              </w:rPr>
              <w:t>22</w:t>
            </w:r>
            <w:r>
              <w:rPr>
                <w:rFonts w:hint="eastAsia" w:ascii="仿宋_GB2312" w:hAnsi="仿宋_GB2312" w:eastAsia="仿宋_GB2312" w:cs="仿宋_GB2312"/>
                <w:color w:val="000000"/>
                <w:spacing w:val="0"/>
                <w:w w:val="100"/>
                <w:sz w:val="28"/>
                <w:szCs w:val="28"/>
                <w:lang w:val="en-US" w:eastAsia="zh-CN"/>
              </w:rPr>
              <w:t>日印发</w:t>
            </w:r>
          </w:p>
        </w:tc>
      </w:tr>
    </w:tbl>
    <w:p>
      <w:pPr>
        <w:pStyle w:val="9"/>
        <w:ind w:left="0" w:leftChars="0" w:firstLine="0" w:firstLineChars="0"/>
      </w:pPr>
    </w:p>
    <w:sectPr>
      <w:footerReference r:id="rId4" w:type="default"/>
      <w:pgSz w:w="11906" w:h="16838"/>
      <w:pgMar w:top="1814" w:right="1531" w:bottom="1701"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32A0D"/>
    <w:rsid w:val="082A7416"/>
    <w:rsid w:val="09C627E5"/>
    <w:rsid w:val="1B1F438E"/>
    <w:rsid w:val="1B7FD054"/>
    <w:rsid w:val="1E73099F"/>
    <w:rsid w:val="1FCFC506"/>
    <w:rsid w:val="248F3D0B"/>
    <w:rsid w:val="26B25AF7"/>
    <w:rsid w:val="2706405C"/>
    <w:rsid w:val="28716AEC"/>
    <w:rsid w:val="30886AE7"/>
    <w:rsid w:val="32FC9DCF"/>
    <w:rsid w:val="33EF25E4"/>
    <w:rsid w:val="35D75BD1"/>
    <w:rsid w:val="38214D90"/>
    <w:rsid w:val="38632A0D"/>
    <w:rsid w:val="3FDFE847"/>
    <w:rsid w:val="3FE7EABC"/>
    <w:rsid w:val="3FFF4FCC"/>
    <w:rsid w:val="41CF3C4C"/>
    <w:rsid w:val="49D5596B"/>
    <w:rsid w:val="4DD7541A"/>
    <w:rsid w:val="4E7FE2F4"/>
    <w:rsid w:val="53DB7DAF"/>
    <w:rsid w:val="557F84FB"/>
    <w:rsid w:val="5B3BE957"/>
    <w:rsid w:val="5B754B5A"/>
    <w:rsid w:val="5BAE91B2"/>
    <w:rsid w:val="5FFFEC24"/>
    <w:rsid w:val="65F476D5"/>
    <w:rsid w:val="6A751C15"/>
    <w:rsid w:val="6CF724D3"/>
    <w:rsid w:val="6DBBBB9E"/>
    <w:rsid w:val="6DF7CD1D"/>
    <w:rsid w:val="6DFD1F3F"/>
    <w:rsid w:val="6EFF93C8"/>
    <w:rsid w:val="71254CFE"/>
    <w:rsid w:val="72B8DE4D"/>
    <w:rsid w:val="74B69D5E"/>
    <w:rsid w:val="77FC4F16"/>
    <w:rsid w:val="7872182C"/>
    <w:rsid w:val="794C1BB7"/>
    <w:rsid w:val="7AF7E201"/>
    <w:rsid w:val="7D135E61"/>
    <w:rsid w:val="7D482418"/>
    <w:rsid w:val="7D7442F8"/>
    <w:rsid w:val="7D8FB981"/>
    <w:rsid w:val="7DDD7941"/>
    <w:rsid w:val="7DFD77A7"/>
    <w:rsid w:val="7EBE3439"/>
    <w:rsid w:val="7EDC6CCF"/>
    <w:rsid w:val="7F4B5321"/>
    <w:rsid w:val="7FC741D9"/>
    <w:rsid w:val="7FD79993"/>
    <w:rsid w:val="7FF24CD7"/>
    <w:rsid w:val="7FF71998"/>
    <w:rsid w:val="7FFD2555"/>
    <w:rsid w:val="9DEB9568"/>
    <w:rsid w:val="A5D7B9FE"/>
    <w:rsid w:val="AFC77815"/>
    <w:rsid w:val="B1B7EF8B"/>
    <w:rsid w:val="B3AF0ABE"/>
    <w:rsid w:val="B56C7E6D"/>
    <w:rsid w:val="BDF78869"/>
    <w:rsid w:val="BF7750A3"/>
    <w:rsid w:val="D7FD49EB"/>
    <w:rsid w:val="D7FF003F"/>
    <w:rsid w:val="DEFF6251"/>
    <w:rsid w:val="DF7E55BA"/>
    <w:rsid w:val="DFDF0B63"/>
    <w:rsid w:val="E6FEC9EB"/>
    <w:rsid w:val="E7BF69B7"/>
    <w:rsid w:val="ED6F2458"/>
    <w:rsid w:val="EE9754B5"/>
    <w:rsid w:val="EF7E985A"/>
    <w:rsid w:val="F3FFFC22"/>
    <w:rsid w:val="F7FECA3D"/>
    <w:rsid w:val="F7FFE366"/>
    <w:rsid w:val="F97E0C5A"/>
    <w:rsid w:val="F9CC8444"/>
    <w:rsid w:val="FB7E8A33"/>
    <w:rsid w:val="FBFB4799"/>
    <w:rsid w:val="FDCF4155"/>
    <w:rsid w:val="FDF9F647"/>
    <w:rsid w:val="FE774E30"/>
    <w:rsid w:val="FEFE0CD8"/>
    <w:rsid w:val="FFD9DFD6"/>
    <w:rsid w:val="FFEEA2D5"/>
    <w:rsid w:val="FFFFC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1"/>
    <w:qFormat/>
    <w:uiPriority w:val="0"/>
    <w:rPr>
      <w:rFonts w:ascii="Calibri" w:hAnsi="Calibri" w:eastAsia="宋体" w:cs="Times New Roman"/>
      <w:szCs w:val="24"/>
    </w:rPr>
  </w:style>
  <w:style w:type="paragraph" w:styleId="6">
    <w:name w:val="Body Text Indent"/>
    <w:next w:val="1"/>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0"/>
    <w:pPr>
      <w:spacing w:after="120"/>
      <w:ind w:firstLine="420" w:firstLineChars="100"/>
    </w:pPr>
    <w:rPr>
      <w:sz w:val="30"/>
    </w:rPr>
  </w:style>
  <w:style w:type="paragraph" w:styleId="10">
    <w:name w:val="Body Text First Indent 2"/>
    <w:next w:val="6"/>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01"/>
    <w:basedOn w:val="13"/>
    <w:qFormat/>
    <w:uiPriority w:val="0"/>
    <w:rPr>
      <w:rFonts w:hint="eastAsia" w:ascii="方正仿宋_GBK" w:hAnsi="方正仿宋_GBK" w:eastAsia="方正仿宋_GBK" w:cs="方正仿宋_GBK"/>
      <w:color w:val="000000"/>
      <w:sz w:val="18"/>
      <w:szCs w:val="18"/>
      <w:u w:val="none"/>
    </w:rPr>
  </w:style>
  <w:style w:type="character" w:customStyle="1" w:styleId="15">
    <w:name w:val="font11"/>
    <w:basedOn w:val="13"/>
    <w:qFormat/>
    <w:uiPriority w:val="0"/>
    <w:rPr>
      <w:rFonts w:hint="eastAsia" w:ascii="方正仿宋_GBK" w:hAnsi="方正仿宋_GBK" w:eastAsia="方正仿宋_GBK" w:cs="方正仿宋_GBK"/>
      <w:color w:val="000000"/>
      <w:sz w:val="18"/>
      <w:szCs w:val="18"/>
      <w:u w:val="none"/>
    </w:rPr>
  </w:style>
  <w:style w:type="paragraph" w:customStyle="1" w:styleId="16">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28705</Words>
  <Characters>29733</Characters>
  <Lines>0</Lines>
  <Paragraphs>0</Paragraphs>
  <TotalTime>12</TotalTime>
  <ScaleCrop>false</ScaleCrop>
  <LinksUpToDate>false</LinksUpToDate>
  <CharactersWithSpaces>29819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2024-01-16T01:28:00Z</dcterms:created>
  <dc:creator>gkb</dc:creator>
  <cp:lastModifiedBy>Administrator</cp:lastModifiedBy>
  <cp:lastPrinted>2024-02-27T17:30:00Z</cp:lastPrinted>
  <dcterms:modified xsi:type="dcterms:W3CDTF">2025-03-10T10:26:41Z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63D2E856EB0F4C6293A51E816C4AB6F3</vt:lpwstr>
  </property>
</Properties>
</file>