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bidi w:val="0"/>
        <w:adjustRightInd w:val="0"/>
        <w:snapToGrid w:val="0"/>
        <w:spacing w:after="0" w:line="560" w:lineRule="exact"/>
        <w:ind w:firstLine="0" w:firstLineChars="0"/>
        <w:jc w:val="left"/>
        <w:rPr>
          <w:rFonts w:hint="default" w:ascii="黑体" w:hAnsi="黑体" w:eastAsia="黑体" w:cs="黑体"/>
          <w:spacing w:val="20"/>
          <w:kern w:val="0"/>
          <w:sz w:val="32"/>
          <w:szCs w:val="32"/>
          <w:lang w:val="en-US" w:eastAsia="zh-CN" w:bidi="ar-SA"/>
          <w14:ligatures w14:val="none"/>
        </w:rPr>
      </w:pPr>
      <w:bookmarkStart w:id="0" w:name="_Toc23957"/>
      <w:bookmarkStart w:id="1" w:name="_Toc28281"/>
      <w:bookmarkStart w:id="2" w:name="_Toc893"/>
      <w:r>
        <w:rPr>
          <w:rFonts w:hint="eastAsia" w:ascii="黑体" w:hAnsi="黑体" w:eastAsia="黑体" w:cs="黑体"/>
          <w:spacing w:val="20"/>
          <w:kern w:val="0"/>
          <w:sz w:val="32"/>
          <w:szCs w:val="32"/>
          <w:lang w:val="en-US" w:eastAsia="zh-CN" w:bidi="ar-SA"/>
          <w14:ligatures w14:val="none"/>
        </w:rPr>
        <w:t>附件2</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仿宋_GB2312" w:cs="Times New Roman"/>
          <w:bCs/>
          <w:kern w:val="0"/>
          <w:sz w:val="32"/>
          <w:szCs w:val="24"/>
          <w:lang w:val="en-US" w:eastAsia="zh-CN" w:bidi="ar-SA"/>
          <w14:ligatures w14:val="none"/>
        </w:rPr>
      </w:pP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0" w:firstLineChars="0"/>
        <w:jc w:val="center"/>
        <w:textAlignment w:val="baseline"/>
        <w:rPr>
          <w:rFonts w:hint="eastAsia" w:ascii="仿宋_GB2312" w:hAnsi="仿宋_GB2312" w:eastAsia="仿宋_GB2312" w:cs="仿宋_GB2312"/>
          <w:snapToGrid w:val="0"/>
          <w:color w:val="000000"/>
          <w:spacing w:val="20"/>
          <w:kern w:val="0"/>
          <w:sz w:val="32"/>
          <w:szCs w:val="32"/>
          <w:lang w:val="en-US" w:eastAsia="zh-CN" w:bidi="ar-SA"/>
          <w14:ligatures w14:val="none"/>
        </w:rPr>
      </w:pPr>
      <w:r>
        <w:rPr>
          <w:rFonts w:hint="eastAsia" w:ascii="仿宋_GB2312" w:hAnsi="仿宋_GB2312" w:eastAsia="仿宋_GB2312" w:cs="仿宋_GB2312"/>
          <w:snapToGrid w:val="0"/>
          <w:color w:val="000000"/>
          <w:spacing w:val="20"/>
          <w:kern w:val="0"/>
          <w:sz w:val="32"/>
          <w:szCs w:val="32"/>
          <w:lang w:val="en-US" w:eastAsia="zh-CN" w:bidi="ar-SA"/>
          <w14:ligatures w14:val="none"/>
        </w:rPr>
        <w:t>哈密市伊州区大泉湾乡地下水源保护区调整技术报告及方案</w:t>
      </w:r>
      <w:bookmarkEnd w:id="0"/>
      <w:bookmarkEnd w:id="1"/>
      <w:bookmarkEnd w:id="2"/>
      <w:r>
        <w:rPr>
          <w:rFonts w:hint="eastAsia" w:ascii="仿宋_GB2312" w:hAnsi="仿宋_GB2312" w:eastAsia="仿宋_GB2312" w:cs="仿宋_GB2312"/>
          <w:snapToGrid w:val="0"/>
          <w:color w:val="000000"/>
          <w:spacing w:val="20"/>
          <w:kern w:val="0"/>
          <w:sz w:val="32"/>
          <w:szCs w:val="32"/>
          <w:lang w:val="en-US" w:eastAsia="zh-CN" w:bidi="ar-SA"/>
          <w14:ligatures w14:val="none"/>
        </w:rPr>
        <w:t>（公参版）</w:t>
      </w: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jc w:val="center"/>
        <w:rPr>
          <w:rFonts w:hint="eastAsia" w:ascii="宋体" w:hAnsi="宋体" w:eastAsia="宋体" w:cs="宋体"/>
          <w:b w:val="0"/>
          <w:bCs w:val="0"/>
          <w:spacing w:val="1"/>
          <w:sz w:val="36"/>
          <w:szCs w:val="36"/>
          <w:lang w:val="en-US" w:eastAsia="zh-CN"/>
        </w:rPr>
      </w:pPr>
    </w:p>
    <w:p>
      <w:pPr>
        <w:widowControl w:val="0"/>
        <w:kinsoku/>
        <w:autoSpaceDE/>
        <w:autoSpaceDN/>
        <w:adjustRightInd w:val="0"/>
        <w:snapToGrid w:val="0"/>
        <w:spacing w:after="0" w:line="360" w:lineRule="auto"/>
        <w:ind w:firstLine="0" w:firstLineChars="0"/>
        <w:jc w:val="center"/>
        <w:textAlignment w:val="auto"/>
        <w:rPr>
          <w:rFonts w:hint="eastAsia" w:ascii="Times New Roman" w:hAnsi="Times New Roman" w:eastAsia="仿宋_GB2312" w:cs="Times New Roman"/>
          <w:bCs/>
          <w:snapToGrid/>
          <w:color w:val="000000"/>
          <w:kern w:val="0"/>
          <w:sz w:val="32"/>
          <w:szCs w:val="24"/>
          <w:lang w:val="en-US" w:eastAsia="zh-CN" w:bidi="ar-SA"/>
          <w14:ligatures w14:val="none"/>
        </w:rPr>
      </w:pPr>
      <w:r>
        <w:rPr>
          <w:rFonts w:hint="eastAsia" w:ascii="Times New Roman" w:hAnsi="Times New Roman" w:eastAsia="仿宋_GB2312" w:cs="Times New Roman"/>
          <w:bCs/>
          <w:snapToGrid/>
          <w:color w:val="000000"/>
          <w:kern w:val="0"/>
          <w:sz w:val="32"/>
          <w:szCs w:val="24"/>
          <w:lang w:val="en-US" w:eastAsia="zh-CN" w:bidi="ar-SA"/>
          <w14:ligatures w14:val="none"/>
        </w:rPr>
        <w:t>中铁工程设计咨询集团有限公司</w:t>
      </w:r>
    </w:p>
    <w:p>
      <w:pPr>
        <w:widowControl w:val="0"/>
        <w:kinsoku/>
        <w:autoSpaceDE/>
        <w:autoSpaceDN/>
        <w:adjustRightInd w:val="0"/>
        <w:snapToGrid w:val="0"/>
        <w:spacing w:after="0" w:line="360" w:lineRule="auto"/>
        <w:ind w:firstLine="0" w:firstLineChars="0"/>
        <w:jc w:val="center"/>
        <w:textAlignment w:val="auto"/>
        <w:rPr>
          <w:rFonts w:hint="eastAsia" w:ascii="Times New Roman" w:hAnsi="Times New Roman" w:eastAsia="仿宋_GB2312" w:cs="Times New Roman"/>
          <w:bCs/>
          <w:snapToGrid/>
          <w:color w:val="000000"/>
          <w:kern w:val="0"/>
          <w:sz w:val="32"/>
          <w:szCs w:val="24"/>
          <w:lang w:val="en-US" w:eastAsia="zh-CN" w:bidi="ar-SA"/>
          <w14:ligatures w14:val="none"/>
        </w:rPr>
      </w:pPr>
      <w:r>
        <w:rPr>
          <w:rFonts w:hint="eastAsia" w:ascii="Times New Roman" w:hAnsi="Times New Roman" w:eastAsia="仿宋_GB2312" w:cs="Times New Roman"/>
          <w:bCs/>
          <w:snapToGrid/>
          <w:color w:val="000000"/>
          <w:kern w:val="0"/>
          <w:sz w:val="32"/>
          <w:szCs w:val="24"/>
          <w:lang w:val="en-US" w:eastAsia="zh-CN" w:bidi="ar-SA"/>
          <w14:ligatures w14:val="none"/>
        </w:rPr>
        <w:t>2025年4月</w:t>
      </w:r>
    </w:p>
    <w:p>
      <w:pPr>
        <w:jc w:val="both"/>
        <w:rPr>
          <w:rFonts w:hint="eastAsia" w:ascii="宋体" w:hAnsi="宋体" w:eastAsia="宋体" w:cs="宋体"/>
          <w:b w:val="0"/>
          <w:bCs w:val="0"/>
          <w:spacing w:val="1"/>
          <w:sz w:val="36"/>
          <w:szCs w:val="36"/>
          <w:lang w:val="en-US" w:eastAsia="zh-CN"/>
        </w:rPr>
      </w:pPr>
    </w:p>
    <w:p>
      <w:pPr>
        <w:jc w:val="both"/>
        <w:rPr>
          <w:rFonts w:hint="eastAsia" w:ascii="宋体" w:hAnsi="宋体" w:eastAsia="宋体" w:cs="宋体"/>
          <w:b w:val="0"/>
          <w:bCs w:val="0"/>
          <w:spacing w:val="1"/>
          <w:sz w:val="36"/>
          <w:szCs w:val="36"/>
          <w:lang w:val="en-US" w:eastAsia="zh-CN"/>
        </w:rPr>
        <w:sectPr>
          <w:headerReference r:id="rId5" w:type="default"/>
          <w:footerReference r:id="rId6" w:type="default"/>
          <w:pgSz w:w="11906" w:h="16838"/>
          <w:pgMar w:top="2098" w:right="1531" w:bottom="1984" w:left="1531" w:header="851" w:footer="1587" w:gutter="0"/>
          <w:pgNumType w:fmt="decimal" w:start="1"/>
          <w:cols w:space="425" w:num="1"/>
          <w:docGrid w:type="lines" w:linePitch="312" w:charSpace="0"/>
        </w:sectPr>
      </w:pPr>
    </w:p>
    <w:p>
      <w:pPr>
        <w:widowControl w:val="0"/>
        <w:kinsoku w:val="0"/>
        <w:autoSpaceDE w:val="0"/>
        <w:autoSpaceDN w:val="0"/>
        <w:bidi w:val="0"/>
        <w:adjustRightInd w:val="0"/>
        <w:snapToGrid w:val="0"/>
        <w:spacing w:after="0" w:line="560" w:lineRule="exact"/>
        <w:ind w:firstLine="0" w:firstLineChars="0"/>
        <w:jc w:val="center"/>
        <w:textAlignment w:val="baseline"/>
        <w:outlineLvl w:val="0"/>
        <w:rPr>
          <w:rFonts w:hint="default" w:ascii="Times New Roman" w:hAnsi="Times New Roman" w:eastAsia="黑体" w:cs="宋体"/>
          <w:snapToGrid w:val="0"/>
          <w:color w:val="000000"/>
          <w:spacing w:val="20"/>
          <w:kern w:val="0"/>
          <w:sz w:val="32"/>
          <w:szCs w:val="44"/>
          <w:lang w:val="en-US" w:eastAsia="zh-CN" w:bidi="ar-SA"/>
          <w14:ligatures w14:val="none"/>
        </w:rPr>
      </w:pPr>
      <w:bookmarkStart w:id="3" w:name="_Toc22722"/>
      <w:r>
        <w:rPr>
          <w:rFonts w:hint="eastAsia" w:ascii="Times New Roman" w:hAnsi="Times New Roman" w:eastAsia="黑体" w:cs="宋体"/>
          <w:snapToGrid w:val="0"/>
          <w:color w:val="000000"/>
          <w:spacing w:val="20"/>
          <w:kern w:val="0"/>
          <w:sz w:val="32"/>
          <w:szCs w:val="44"/>
          <w:lang w:val="en-US" w:eastAsia="zh-CN" w:bidi="ar-SA"/>
          <w14:ligatures w14:val="none"/>
        </w:rPr>
        <w:t>1.水源保护区调整方案</w:t>
      </w:r>
      <w:bookmarkEnd w:id="3"/>
    </w:p>
    <w:p>
      <w:pPr>
        <w:widowControl w:val="0"/>
        <w:kinsoku w:val="0"/>
        <w:autoSpaceDE w:val="0"/>
        <w:autoSpaceDN w:val="0"/>
        <w:bidi w:val="0"/>
        <w:adjustRightInd w:val="0"/>
        <w:snapToGrid w:val="0"/>
        <w:spacing w:after="0" w:line="560" w:lineRule="exact"/>
        <w:ind w:firstLine="720" w:firstLineChars="200"/>
        <w:jc w:val="left"/>
        <w:textAlignment w:val="baseline"/>
        <w:outlineLvl w:val="1"/>
        <w:rPr>
          <w:rFonts w:hint="eastAsia" w:ascii="Times New Roman" w:hAnsi="Times New Roman" w:eastAsia="楷体_GB2312" w:cs="宋体"/>
          <w:snapToGrid w:val="0"/>
          <w:color w:val="000000"/>
          <w:spacing w:val="20"/>
          <w:kern w:val="0"/>
          <w:sz w:val="32"/>
          <w:szCs w:val="44"/>
          <w:lang w:val="en-US" w:eastAsia="zh-CN" w:bidi="ar-SA"/>
          <w14:ligatures w14:val="none"/>
        </w:rPr>
      </w:pPr>
      <w:bookmarkStart w:id="4" w:name="_Toc11783"/>
      <w:bookmarkStart w:id="5" w:name="_Toc7356"/>
      <w:r>
        <w:rPr>
          <w:rFonts w:hint="eastAsia" w:ascii="Times New Roman" w:hAnsi="Times New Roman" w:eastAsia="楷体_GB2312" w:cs="宋体"/>
          <w:snapToGrid w:val="0"/>
          <w:color w:val="000000"/>
          <w:spacing w:val="20"/>
          <w:kern w:val="0"/>
          <w:sz w:val="32"/>
          <w:szCs w:val="44"/>
          <w:lang w:val="en-US" w:eastAsia="zh-CN" w:bidi="ar-SA"/>
          <w14:ligatures w14:val="none"/>
        </w:rPr>
        <w:t>1.1编制目的</w:t>
      </w:r>
      <w:bookmarkEnd w:id="4"/>
      <w:bookmarkEnd w:id="5"/>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饮用水是人类生存的基本需求，直接关系到广大人民群众的身体健康。《中华人民共和国水污染防治法》《水污染防治行动计划》《自治区水污染防治工作方案》等都突出强调加强饮用水水源保护。建立饮用水水源保护区，是加强饮用水水源保护的重要举措，为了贯彻党中央、国务院的要求，保障人民群众饮用水安全，为进一步加强我区饮用水水源保护区划分、调整、变更等有关工作管理，规范工作程序，按照生态环境部的要求，原新疆环境保护厅制定了《关于进一步规范饮用水水源保护区划分调整变更工作的通知》（新环发〔2016〕323号），对我区饮用水水源地保护区划分、调整、变更的程序做了具体要求。</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伊州区大泉湾乡地下水源地始建于二十世纪八九十年代，位于大泉湾乡黄芦岗村三队、312国道以南275米、大泉湾乡政府西北方向3km处，伊州区人民政府组织划分了水源保护区并在2016年取得了自治区人民政府的批复（新政函〔2016〕99号）。由于保护区范围与现行划分技术规范有重大冲突等原因，需重新调整水源保护区范围。</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新疆维吾尔自治区饮用水水源保护区管理规定（试行）》（2024年8月1日试行）第九条：饮用水水源保护区范围与现行饮用水水源保护区划分技术规范有重大冲突的、取水口发生重大变化的，县级及以上集中式饮用水水源所在地（州、市）人民政府（行政公署）可以向自治区人民政府申请调整饮用水水源保护区范围，乡镇及以下集中式饮用水水源保护区的划定、调整和撤销，由其所在地的县（市、区）人民政府提出方案，报地（州、市）人民政府（行政公署）批准。因此，调整保护区的原因符合相关规定。</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伊州区大泉湾乡地下水</w:t>
      </w:r>
      <w:bookmarkStart w:id="34" w:name="_GoBack"/>
      <w:bookmarkEnd w:id="34"/>
      <w:r>
        <w:rPr>
          <w:rFonts w:hint="eastAsia" w:ascii="Times New Roman" w:hAnsi="Times New Roman" w:eastAsia="仿宋_GB2312" w:cs="Times New Roman"/>
          <w:bCs/>
          <w:snapToGrid w:val="0"/>
          <w:color w:val="000000"/>
          <w:kern w:val="0"/>
          <w:sz w:val="32"/>
          <w:szCs w:val="24"/>
          <w:lang w:val="en-US" w:eastAsia="zh-CN" w:bidi="ar-SA"/>
          <w14:ligatures w14:val="none"/>
        </w:rPr>
        <w:t>水源地现有3口水源井，类型为第四系孔隙承压水。目前供水范围：除大泉湾乡乡政府外，所有大泉湾乡辖区人口。</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依据《中华人民共和国水污染防治法》，国家建立饮用水水源保护区制度，饮用水水源保护区划分为一级保护区和二级保护区，必要时，可以在饮用水水源保护区外围划定一定的区域作为准保护区；原环境保护部发布了《饮用水水源保护区划分技术规范》（HJ 338-2018），为饮用水水源保护区划分和调整提供了技术依据。调整后的饮用水源保护区需按照《集中式饮用水水源地规范化建设环境保护技术要求》（HJ 773-2015）对水源保护区进行规范化建设和污染治理，以确保饮用水水源水质达标。按照国家和自治区有关饮用水水源地保护区划分和管理的相关要求，必须在对水源地开展环境基础调查的基础上调整水源保护区，并提出保护区规范化建设和污染防控的对策。</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ascii="Times New Roman" w:hAnsi="Times New Roman" w:eastAsia="宋体" w:cs="宋体"/>
          <w:kern w:val="0"/>
          <w:sz w:val="28"/>
        </w:rPr>
      </w:pPr>
      <w:r>
        <w:rPr>
          <w:rFonts w:hint="eastAsia" w:ascii="Times New Roman" w:hAnsi="Times New Roman" w:eastAsia="仿宋_GB2312" w:cs="Times New Roman"/>
          <w:bCs/>
          <w:snapToGrid w:val="0"/>
          <w:color w:val="000000"/>
          <w:kern w:val="0"/>
          <w:sz w:val="32"/>
          <w:szCs w:val="24"/>
          <w:lang w:val="en-US" w:eastAsia="zh-CN" w:bidi="ar-SA"/>
          <w14:ligatures w14:val="none"/>
        </w:rPr>
        <w:t>报告中使用的坐标系均为国家2000大地坐标系，特此说明。</w:t>
      </w:r>
    </w:p>
    <w:p>
      <w:pPr>
        <w:widowControl w:val="0"/>
        <w:kinsoku w:val="0"/>
        <w:autoSpaceDE w:val="0"/>
        <w:autoSpaceDN w:val="0"/>
        <w:bidi w:val="0"/>
        <w:adjustRightInd w:val="0"/>
        <w:snapToGrid w:val="0"/>
        <w:spacing w:after="0" w:line="560" w:lineRule="exact"/>
        <w:ind w:firstLine="720" w:firstLineChars="200"/>
        <w:jc w:val="left"/>
        <w:textAlignment w:val="baseline"/>
        <w:outlineLvl w:val="1"/>
        <w:rPr>
          <w:rFonts w:hint="eastAsia" w:ascii="Times New Roman" w:hAnsi="Times New Roman" w:eastAsia="楷体_GB2312" w:cs="宋体"/>
          <w:snapToGrid w:val="0"/>
          <w:color w:val="000000"/>
          <w:spacing w:val="20"/>
          <w:kern w:val="0"/>
          <w:sz w:val="32"/>
          <w:szCs w:val="44"/>
          <w:lang w:val="en-US" w:eastAsia="zh-CN" w:bidi="ar-SA"/>
          <w14:ligatures w14:val="none"/>
        </w:rPr>
      </w:pPr>
      <w:bookmarkStart w:id="6" w:name="_Toc19817"/>
      <w:bookmarkStart w:id="7" w:name="_Toc32068"/>
      <w:r>
        <w:rPr>
          <w:rFonts w:hint="eastAsia" w:ascii="Times New Roman" w:hAnsi="Times New Roman" w:eastAsia="楷体_GB2312" w:cs="宋体"/>
          <w:snapToGrid w:val="0"/>
          <w:color w:val="000000"/>
          <w:spacing w:val="20"/>
          <w:kern w:val="0"/>
          <w:sz w:val="32"/>
          <w:szCs w:val="44"/>
          <w:lang w:val="en-US" w:eastAsia="zh-CN" w:bidi="ar-SA"/>
          <w14:ligatures w14:val="none"/>
        </w:rPr>
        <w:t>1.2编制依据</w:t>
      </w:r>
      <w:bookmarkEnd w:id="6"/>
      <w:bookmarkEnd w:id="7"/>
    </w:p>
    <w:p>
      <w:pPr>
        <w:widowControl w:val="0"/>
        <w:kinsoku w:val="0"/>
        <w:autoSpaceDE w:val="0"/>
        <w:autoSpaceDN w:val="0"/>
        <w:bidi w:val="0"/>
        <w:adjustRightInd w:val="0"/>
        <w:snapToGrid w:val="0"/>
        <w:spacing w:after="0" w:line="560" w:lineRule="exact"/>
        <w:ind w:firstLine="643" w:firstLineChars="200"/>
        <w:jc w:val="left"/>
        <w:textAlignment w:val="baseline"/>
        <w:outlineLvl w:val="2"/>
        <w:rPr>
          <w:rFonts w:hint="eastAsia" w:ascii="Times New Roman" w:hAnsi="Times New Roman" w:eastAsia="仿宋_GB2312" w:cs="宋体"/>
          <w:b/>
          <w:bCs/>
          <w:snapToGrid w:val="0"/>
          <w:color w:val="000000"/>
          <w:kern w:val="0"/>
          <w:sz w:val="32"/>
          <w:szCs w:val="24"/>
          <w:lang w:val="en-US" w:eastAsia="zh-CN" w:bidi="ar-SA"/>
          <w14:ligatures w14:val="none"/>
        </w:rPr>
      </w:pPr>
      <w:bookmarkStart w:id="8" w:name="_Toc518514788"/>
      <w:bookmarkStart w:id="9" w:name="_Toc30305"/>
      <w:bookmarkStart w:id="10" w:name="_Toc127119846"/>
      <w:bookmarkStart w:id="11" w:name="_Toc527887340"/>
      <w:bookmarkStart w:id="12" w:name="_Toc30583"/>
      <w:bookmarkStart w:id="13" w:name="_Toc518514918"/>
      <w:bookmarkStart w:id="14" w:name="_Toc518587872"/>
      <w:r>
        <w:rPr>
          <w:rFonts w:hint="eastAsia" w:ascii="Times New Roman" w:hAnsi="Times New Roman" w:eastAsia="仿宋_GB2312" w:cs="宋体"/>
          <w:b/>
          <w:bCs/>
          <w:snapToGrid w:val="0"/>
          <w:color w:val="000000"/>
          <w:kern w:val="0"/>
          <w:sz w:val="32"/>
          <w:szCs w:val="24"/>
          <w:lang w:val="en-US" w:eastAsia="zh-CN" w:bidi="ar-SA"/>
          <w14:ligatures w14:val="none"/>
        </w:rPr>
        <w:t>1.2.1法律法规</w:t>
      </w:r>
      <w:bookmarkEnd w:id="8"/>
      <w:bookmarkEnd w:id="9"/>
      <w:bookmarkEnd w:id="10"/>
      <w:bookmarkEnd w:id="11"/>
      <w:bookmarkEnd w:id="12"/>
      <w:bookmarkEnd w:id="13"/>
      <w:bookmarkEnd w:id="14"/>
    </w:p>
    <w:p>
      <w:pPr>
        <w:widowControl w:val="0"/>
        <w:kinsoku w:val="0"/>
        <w:autoSpaceDE w:val="0"/>
        <w:autoSpaceDN w:val="0"/>
        <w:bidi w:val="0"/>
        <w:adjustRightInd w:val="0"/>
        <w:snapToGrid w:val="0"/>
        <w:spacing w:after="0" w:line="560" w:lineRule="exact"/>
        <w:ind w:firstLine="596" w:firstLineChars="200"/>
        <w:jc w:val="both"/>
        <w:textAlignment w:val="baseline"/>
        <w:outlineLvl w:val="9"/>
        <w:rPr>
          <w:rFonts w:hint="eastAsia" w:ascii="Times New Roman" w:hAnsi="Times New Roman" w:eastAsia="仿宋_GB2312" w:cs="Times New Roman"/>
          <w:bCs/>
          <w:snapToGrid w:val="0"/>
          <w:color w:val="000000"/>
          <w:spacing w:val="-11"/>
          <w:kern w:val="0"/>
          <w:sz w:val="32"/>
          <w:szCs w:val="24"/>
          <w:lang w:val="en-US" w:eastAsia="zh-CN" w:bidi="ar-SA"/>
          <w14:ligatures w14:val="none"/>
        </w:rPr>
      </w:pPr>
      <w:bookmarkStart w:id="15" w:name="_Toc220336111"/>
      <w:bookmarkStart w:id="16" w:name="_Toc518514789"/>
      <w:bookmarkStart w:id="17" w:name="_Toc518514919"/>
      <w:bookmarkStart w:id="18" w:name="_Toc518587873"/>
      <w:bookmarkStart w:id="19" w:name="_Toc527887341"/>
      <w:r>
        <w:rPr>
          <w:rFonts w:hint="eastAsia" w:ascii="Times New Roman" w:hAnsi="Times New Roman" w:eastAsia="仿宋_GB2312" w:cs="Times New Roman"/>
          <w:bCs/>
          <w:snapToGrid w:val="0"/>
          <w:color w:val="000000"/>
          <w:spacing w:val="-11"/>
          <w:kern w:val="0"/>
          <w:sz w:val="32"/>
          <w:szCs w:val="24"/>
          <w:lang w:val="en-US" w:eastAsia="zh-CN" w:bidi="ar-SA"/>
          <w14:ligatures w14:val="none"/>
        </w:rPr>
        <w:t>（1）《中华人民共和国环境保护法》（2015年1月1日施行）；</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（2）《中华人民共和国水法》（2016年7月2日施行）；</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（3）《中华人民共和国水污染防治法》（2018年1月1日施行）；</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（4）《取水许可制度实施办法》（1993年9月1日施行）；</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（5）《新疆维吾尔自治区环境保护条例》（2017年1月1日施行）；</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（6）《水污染防治行动计划》（国发〔2015〕17号）；</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（7）《饮用水水源保护区污染防治管理规定》（2010年12月22日修订）；</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（8）《新疆维吾尔自治区实施</w:t>
      </w:r>
      <w:r>
        <w:rPr>
          <w:rFonts w:hint="eastAsia" w:ascii="仿宋_GB2312" w:hAnsi="仿宋_GB2312" w:eastAsia="仿宋_GB2312" w:cs="仿宋_GB2312"/>
          <w:bCs/>
          <w:snapToGrid w:val="0"/>
          <w:color w:val="000000"/>
          <w:kern w:val="0"/>
          <w:sz w:val="32"/>
          <w:szCs w:val="24"/>
          <w:lang w:val="en-US" w:eastAsia="zh-CN" w:bidi="ar-SA"/>
          <w14:ligatures w14:val="none"/>
        </w:rPr>
        <w:t>&lt;中华人民共和国水法&gt;</w:t>
      </w:r>
      <w:r>
        <w:rPr>
          <w:rFonts w:hint="eastAsia" w:ascii="Times New Roman" w:hAnsi="Times New Roman" w:eastAsia="仿宋_GB2312" w:cs="Times New Roman"/>
          <w:bCs/>
          <w:snapToGrid w:val="0"/>
          <w:color w:val="000000"/>
          <w:kern w:val="0"/>
          <w:sz w:val="32"/>
          <w:szCs w:val="24"/>
          <w:lang w:val="en-US" w:eastAsia="zh-CN" w:bidi="ar-SA"/>
          <w14:ligatures w14:val="none"/>
        </w:rPr>
        <w:t>办法》（2003年12月26日修改）</w:t>
      </w:r>
      <w:bookmarkStart w:id="20" w:name="_Toc127119847"/>
      <w:r>
        <w:rPr>
          <w:rFonts w:hint="eastAsia" w:ascii="Times New Roman" w:hAnsi="Times New Roman" w:eastAsia="仿宋_GB2312" w:cs="Times New Roman"/>
          <w:bCs/>
          <w:snapToGrid w:val="0"/>
          <w:color w:val="000000"/>
          <w:kern w:val="0"/>
          <w:sz w:val="32"/>
          <w:szCs w:val="24"/>
          <w:lang w:val="en-US" w:eastAsia="zh-CN" w:bidi="ar-SA"/>
          <w14:ligatures w14:val="none"/>
        </w:rPr>
        <w:t>；</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（9）《新疆维吾尔自治区农村供水管理办法》（2021年11月1日施行）；</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（10）《新疆维吾尔自治区实施〈中华人民共和国水污染防治法〉办法》（2023年6月1日施行）；</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（11）《新疆维吾尔自治区饮用水水源保护区管理规定（试行）》（2024年8月1日试行）。</w:t>
      </w:r>
    </w:p>
    <w:p>
      <w:pPr>
        <w:widowControl w:val="0"/>
        <w:kinsoku w:val="0"/>
        <w:autoSpaceDE w:val="0"/>
        <w:autoSpaceDN w:val="0"/>
        <w:bidi w:val="0"/>
        <w:adjustRightInd w:val="0"/>
        <w:snapToGrid w:val="0"/>
        <w:spacing w:after="0" w:line="560" w:lineRule="exact"/>
        <w:ind w:firstLine="0" w:firstLineChars="0"/>
        <w:jc w:val="left"/>
        <w:textAlignment w:val="baseline"/>
        <w:outlineLvl w:val="2"/>
        <w:rPr>
          <w:rFonts w:hint="eastAsia" w:ascii="Times New Roman" w:hAnsi="Times New Roman" w:eastAsia="仿宋_GB2312" w:cs="宋体"/>
          <w:b/>
          <w:bCs/>
          <w:snapToGrid w:val="0"/>
          <w:color w:val="000000"/>
          <w:kern w:val="0"/>
          <w:sz w:val="32"/>
          <w:szCs w:val="24"/>
          <w:lang w:val="en-US" w:eastAsia="zh-CN" w:bidi="ar-SA"/>
          <w14:ligatures w14:val="none"/>
        </w:rPr>
      </w:pPr>
      <w:bookmarkStart w:id="21" w:name="_Toc29993"/>
      <w:bookmarkStart w:id="22" w:name="_Toc30741"/>
      <w:r>
        <w:rPr>
          <w:rFonts w:hint="eastAsia" w:ascii="Times New Roman" w:hAnsi="Times New Roman" w:eastAsia="仿宋_GB2312" w:cs="宋体"/>
          <w:b/>
          <w:bCs/>
          <w:snapToGrid w:val="0"/>
          <w:color w:val="000000"/>
          <w:kern w:val="0"/>
          <w:sz w:val="32"/>
          <w:szCs w:val="24"/>
          <w:lang w:val="en-US" w:eastAsia="zh-CN" w:bidi="ar-SA"/>
          <w14:ligatures w14:val="none"/>
        </w:rPr>
        <w:t>1.2.2环境质量标准</w:t>
      </w:r>
      <w:bookmarkEnd w:id="15"/>
      <w:r>
        <w:rPr>
          <w:rFonts w:hint="eastAsia" w:ascii="Times New Roman" w:hAnsi="Times New Roman" w:eastAsia="仿宋_GB2312" w:cs="宋体"/>
          <w:b/>
          <w:bCs/>
          <w:snapToGrid w:val="0"/>
          <w:color w:val="000000"/>
          <w:kern w:val="0"/>
          <w:sz w:val="32"/>
          <w:szCs w:val="24"/>
          <w:lang w:val="en-US" w:eastAsia="zh-CN" w:bidi="ar-SA"/>
          <w14:ligatures w14:val="none"/>
        </w:rPr>
        <w:t>与规范</w:t>
      </w:r>
      <w:bookmarkEnd w:id="16"/>
      <w:bookmarkEnd w:id="17"/>
      <w:bookmarkEnd w:id="18"/>
      <w:bookmarkEnd w:id="19"/>
      <w:bookmarkEnd w:id="20"/>
      <w:bookmarkEnd w:id="21"/>
      <w:bookmarkEnd w:id="22"/>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bookmarkStart w:id="23" w:name="_Hlk132045363"/>
      <w:bookmarkStart w:id="24" w:name="_Hlk124445375"/>
      <w:r>
        <w:rPr>
          <w:rFonts w:hint="eastAsia" w:ascii="Times New Roman" w:hAnsi="Times New Roman" w:eastAsia="仿宋_GB2312" w:cs="Times New Roman"/>
          <w:bCs/>
          <w:snapToGrid w:val="0"/>
          <w:color w:val="000000"/>
          <w:kern w:val="0"/>
          <w:sz w:val="32"/>
          <w:szCs w:val="24"/>
          <w:lang w:val="en-US" w:eastAsia="zh-CN" w:bidi="ar-SA"/>
          <w14:ligatures w14:val="none"/>
        </w:rPr>
        <w:t>（1）《地表水环境质量标准》（GB 3838-2002）；</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（2）《地下水质量标准》（GB/T 14848-2017）；</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（3）《生活饮用水卫生标准》（GB 5749-2022）；</w:t>
      </w:r>
    </w:p>
    <w:p>
      <w:pPr>
        <w:widowControl w:val="0"/>
        <w:kinsoku w:val="0"/>
        <w:autoSpaceDE w:val="0"/>
        <w:autoSpaceDN w:val="0"/>
        <w:bidi w:val="0"/>
        <w:adjustRightInd w:val="0"/>
        <w:snapToGrid w:val="0"/>
        <w:spacing w:after="0" w:line="560" w:lineRule="exact"/>
        <w:ind w:firstLine="596" w:firstLineChars="200"/>
        <w:jc w:val="both"/>
        <w:textAlignment w:val="baseline"/>
        <w:outlineLvl w:val="9"/>
        <w:rPr>
          <w:rFonts w:hint="eastAsia" w:ascii="Times New Roman" w:hAnsi="Times New Roman" w:eastAsia="仿宋_GB2312" w:cs="Times New Roman"/>
          <w:bCs/>
          <w:snapToGrid w:val="0"/>
          <w:color w:val="000000"/>
          <w:spacing w:val="-11"/>
          <w:kern w:val="0"/>
          <w:sz w:val="32"/>
          <w:szCs w:val="24"/>
          <w:lang w:val="en-US" w:eastAsia="zh-CN" w:bidi="ar-SA"/>
          <w14:ligatures w14:val="none"/>
        </w:rPr>
      </w:pPr>
      <w:r>
        <w:rPr>
          <w:rFonts w:hint="eastAsia" w:ascii="Times New Roman" w:hAnsi="Times New Roman" w:eastAsia="仿宋_GB2312" w:cs="Times New Roman"/>
          <w:bCs/>
          <w:snapToGrid w:val="0"/>
          <w:color w:val="000000"/>
          <w:spacing w:val="-11"/>
          <w:kern w:val="0"/>
          <w:sz w:val="32"/>
          <w:szCs w:val="24"/>
          <w:lang w:val="en-US" w:eastAsia="zh-CN" w:bidi="ar-SA"/>
          <w14:ligatures w14:val="none"/>
        </w:rPr>
        <w:t>（4）《饮用水水源保护区划分技术规范》（HJ 338-2018）；</w:t>
      </w:r>
    </w:p>
    <w:p>
      <w:pPr>
        <w:widowControl w:val="0"/>
        <w:kinsoku w:val="0"/>
        <w:autoSpaceDE w:val="0"/>
        <w:autoSpaceDN w:val="0"/>
        <w:bidi w:val="0"/>
        <w:adjustRightInd w:val="0"/>
        <w:snapToGrid w:val="0"/>
        <w:spacing w:after="0" w:line="560" w:lineRule="exact"/>
        <w:ind w:firstLine="596" w:firstLineChars="200"/>
        <w:jc w:val="both"/>
        <w:textAlignment w:val="baseline"/>
        <w:outlineLvl w:val="9"/>
        <w:rPr>
          <w:rFonts w:hint="eastAsia" w:ascii="Times New Roman" w:hAnsi="Times New Roman" w:eastAsia="仿宋_GB2312" w:cs="Times New Roman"/>
          <w:bCs/>
          <w:snapToGrid w:val="0"/>
          <w:color w:val="000000"/>
          <w:spacing w:val="-11"/>
          <w:kern w:val="0"/>
          <w:sz w:val="32"/>
          <w:szCs w:val="24"/>
          <w:lang w:val="en-US" w:eastAsia="zh-CN" w:bidi="ar-SA"/>
          <w14:ligatures w14:val="none"/>
        </w:rPr>
      </w:pPr>
      <w:r>
        <w:rPr>
          <w:rFonts w:hint="eastAsia" w:ascii="Times New Roman" w:hAnsi="Times New Roman" w:eastAsia="仿宋_GB2312" w:cs="Times New Roman"/>
          <w:bCs/>
          <w:snapToGrid w:val="0"/>
          <w:color w:val="000000"/>
          <w:spacing w:val="-11"/>
          <w:kern w:val="0"/>
          <w:sz w:val="32"/>
          <w:szCs w:val="24"/>
          <w:lang w:val="en-US" w:eastAsia="zh-CN" w:bidi="ar-SA"/>
          <w14:ligatures w14:val="none"/>
        </w:rPr>
        <w:t>（5）《饮用水水源保护区标志技术要求》（HJ/T 433-2008）；</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（6）《地下水环境监测技术规范》（HJ 164-2020）；</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（7）《地表水环境质量监测技术规范》（HJ 91.2-2022）；</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（8）《集中式饮用水水源地规范化建设环境保护技术要求》（HJ 773-2015）；</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（9）《室外给水设计标准》（GB 50013-2018）；</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（10）《关于进一步规范饮用水水源保护区划分调整变更工作的通知》（新环发〔2016〕323号）；</w:t>
      </w:r>
    </w:p>
    <w:bookmarkEnd w:id="23"/>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（11）《关于推进乡镇及以下集中式饮用水水源地生态环境保护工作的指导意见》（环水体函〔2019〕92号）；</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（12）《关于答复全国集中式饮用水水源地环境保护专项行动有关问题的函》（环办环监函〔2018〕767号）；</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（13）《关于答复2019年饮用水水源地环境保护专项行动有关问题的函》（环办执法函〔2019〕647号）；</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（14）《进一步加强饮用水水源环境保护工作的通知》（新环办发〔2018〕370号）；</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（15）《关于进一步开展自治区饮用水水源地环境保护工作的通知》（新环函〔2019〕140号）；</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（16）《新疆维吾尔自治区水污染防治工作方案》（新政发〔2016〕21号）；</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（17）《关于做好农村供水保障工作的实施意见》（新政办发〔2021〕105号）。</w:t>
      </w:r>
      <w:bookmarkEnd w:id="24"/>
    </w:p>
    <w:p>
      <w:pPr>
        <w:widowControl w:val="0"/>
        <w:kinsoku w:val="0"/>
        <w:autoSpaceDE w:val="0"/>
        <w:autoSpaceDN w:val="0"/>
        <w:bidi w:val="0"/>
        <w:adjustRightInd w:val="0"/>
        <w:snapToGrid w:val="0"/>
        <w:spacing w:after="0" w:line="560" w:lineRule="exact"/>
        <w:ind w:firstLine="720" w:firstLineChars="200"/>
        <w:jc w:val="left"/>
        <w:textAlignment w:val="baseline"/>
        <w:outlineLvl w:val="1"/>
        <w:rPr>
          <w:rFonts w:hint="default" w:ascii="Times New Roman" w:hAnsi="Times New Roman" w:eastAsia="楷体_GB2312" w:cs="宋体"/>
          <w:snapToGrid w:val="0"/>
          <w:color w:val="000000"/>
          <w:spacing w:val="20"/>
          <w:kern w:val="0"/>
          <w:sz w:val="32"/>
          <w:szCs w:val="44"/>
          <w:lang w:val="en-US" w:eastAsia="zh-CN" w:bidi="ar-SA"/>
          <w14:ligatures w14:val="none"/>
        </w:rPr>
      </w:pPr>
      <w:bookmarkStart w:id="25" w:name="_Toc1873"/>
      <w:bookmarkStart w:id="26" w:name="_Toc14369"/>
      <w:r>
        <w:rPr>
          <w:rFonts w:hint="eastAsia" w:ascii="Times New Roman" w:hAnsi="Times New Roman" w:eastAsia="楷体_GB2312" w:cs="宋体"/>
          <w:snapToGrid w:val="0"/>
          <w:color w:val="000000"/>
          <w:spacing w:val="20"/>
          <w:kern w:val="0"/>
          <w:sz w:val="32"/>
          <w:szCs w:val="44"/>
          <w:lang w:val="en-US" w:eastAsia="zh-CN" w:bidi="ar-SA"/>
          <w14:ligatures w14:val="none"/>
        </w:rPr>
        <w:t>1.3水质要求</w:t>
      </w:r>
      <w:bookmarkEnd w:id="25"/>
      <w:bookmarkEnd w:id="26"/>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地下水饮用水水源保护区的水质基本项目应达到《地下水质量标准》（GB/T14848-2017）中的Ⅲ类标准限值，包括常规指标和非常规指标。</w:t>
      </w:r>
    </w:p>
    <w:p>
      <w:pPr>
        <w:widowControl w:val="0"/>
        <w:kinsoku w:val="0"/>
        <w:autoSpaceDE w:val="0"/>
        <w:autoSpaceDN w:val="0"/>
        <w:bidi w:val="0"/>
        <w:adjustRightInd w:val="0"/>
        <w:snapToGrid w:val="0"/>
        <w:spacing w:after="0" w:line="560" w:lineRule="exact"/>
        <w:ind w:firstLine="720" w:firstLineChars="200"/>
        <w:jc w:val="left"/>
        <w:textAlignment w:val="baseline"/>
        <w:outlineLvl w:val="1"/>
        <w:rPr>
          <w:rFonts w:hint="eastAsia" w:ascii="Times New Roman" w:hAnsi="Times New Roman" w:eastAsia="楷体_GB2312" w:cs="宋体"/>
          <w:snapToGrid w:val="0"/>
          <w:color w:val="000000"/>
          <w:spacing w:val="20"/>
          <w:kern w:val="0"/>
          <w:sz w:val="32"/>
          <w:szCs w:val="44"/>
          <w:lang w:val="en-US" w:eastAsia="zh-CN" w:bidi="ar-SA"/>
          <w14:ligatures w14:val="none"/>
        </w:rPr>
      </w:pPr>
      <w:bookmarkStart w:id="27" w:name="_Toc15873"/>
      <w:bookmarkStart w:id="28" w:name="_Toc30783"/>
      <w:r>
        <w:rPr>
          <w:rFonts w:hint="eastAsia" w:ascii="Times New Roman" w:hAnsi="Times New Roman" w:eastAsia="楷体_GB2312" w:cs="宋体"/>
          <w:snapToGrid w:val="0"/>
          <w:color w:val="000000"/>
          <w:spacing w:val="20"/>
          <w:kern w:val="0"/>
          <w:sz w:val="32"/>
          <w:szCs w:val="44"/>
          <w:lang w:val="en-US" w:eastAsia="zh-CN" w:bidi="ar-SA"/>
          <w14:ligatures w14:val="none"/>
        </w:rPr>
        <w:t>1.4技术路线</w:t>
      </w:r>
      <w:bookmarkEnd w:id="27"/>
      <w:bookmarkEnd w:id="28"/>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饮用水水源保护区调整在技术路线上坚持系统分析、综合调查、水陆并举、统筹兼顾的总体设计思想，采取定性分析与定量计算相结合的方法。基本工作步骤是：</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（1）综合调查、资料收集：通过调查，收集取水口区域内的水文气候及地质、地表水监测、生态与环境状况调查、社会经济、污染源分布等方面的基础资料。</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（2）综合分析评价：在综合调查的基础上，对该区域水质进行全面评价，确定污染控制因子，分析污染源对水源地的潜在影响。</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（3）饮用水水源保护区的调整：根据水源地周边汇水条件、集水范围、地形地貌、土地利用情况，按照导则要求选取适当的保护区调整方法。</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（4）制订饮用水水源地保护区的水资源保护对策、措施，并对保护区规范化建设投资进行估算。</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（5）成果汇总与协调：编制完成集中式饮用水水源保护区划分技术文件，形成《哈密市伊州区大泉湾乡地下水源保护区调整技术报告及方案》，并绘制保护区划分勘界图。</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bookmarkStart w:id="29" w:name="_Toc9536"/>
      <w:r>
        <w:rPr>
          <w:rFonts w:hint="eastAsia" w:ascii="Times New Roman" w:hAnsi="Times New Roman" w:eastAsia="仿宋_GB2312" w:cs="Times New Roman"/>
          <w:bCs/>
          <w:snapToGrid w:val="0"/>
          <w:color w:val="000000"/>
          <w:kern w:val="0"/>
          <w:sz w:val="32"/>
          <w:szCs w:val="24"/>
          <w:lang w:val="en-US" w:eastAsia="zh-CN" w:bidi="ar-SA"/>
          <w14:ligatures w14:val="none"/>
        </w:rPr>
        <w:t>（6）成果上报与审查。</w:t>
      </w:r>
      <w:bookmarkEnd w:id="29"/>
    </w:p>
    <w:p>
      <w:pPr>
        <w:widowControl w:val="0"/>
        <w:adjustRightInd w:val="0"/>
        <w:snapToGrid w:val="0"/>
        <w:spacing w:line="360" w:lineRule="auto"/>
        <w:ind w:firstLine="0" w:firstLineChars="0"/>
        <w:jc w:val="center"/>
        <w:rPr>
          <w:rFonts w:ascii="Times New Roman" w:hAnsi="Times New Roman" w:eastAsia="宋体" w:cs="宋体"/>
          <w:b/>
          <w:color w:val="FF0000"/>
          <w:sz w:val="21"/>
          <w:szCs w:val="24"/>
          <w:lang w:val="en-US" w:eastAsia="zh-CN" w:bidi="ar-SA"/>
        </w:rPr>
      </w:pPr>
      <w:r>
        <w:rPr>
          <w:rFonts w:ascii="Times New Roman" w:hAnsi="Times New Roman" w:eastAsia="宋体" w:cs="宋体"/>
          <w:b/>
          <w:sz w:val="21"/>
          <w:szCs w:val="24"/>
          <w:lang w:val="en-US" w:eastAsia="zh-CN" w:bidi="ar-SA"/>
        </w:rPr>
        <w:drawing>
          <wp:inline distT="0" distB="0" distL="0" distR="0">
            <wp:extent cx="3609340" cy="5200650"/>
            <wp:effectExtent l="0" t="0" r="10160" b="0"/>
            <wp:docPr id="66" name="图片 2" descr="C:\Users\lenovo\AppData\Roaming\Tencent\Users\359797290\QQ\WinTemp\RichOle\}I%J(N[{E8Y{[5J25)THC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descr="C:\Users\lenovo\AppData\Roaming\Tencent\Users\359797290\QQ\WinTemp\RichOle\}I%J(N[{E8Y{[5J25)THCLC.png"/>
                    <pic:cNvPicPr>
                      <a:picLocks noChangeAspect="1" noChangeArrowheads="1"/>
                    </pic:cNvPicPr>
                  </pic:nvPicPr>
                  <pic:blipFill>
                    <a:blip r:embed="rId10">
                      <a:extLst>
                        <a:ext uri="{28A0092B-C50C-407E-A947-70E740481C1C}">
                          <a14:useLocalDpi xmlns:a14="http://schemas.microsoft.com/office/drawing/2010/main" val="0"/>
                        </a:ext>
                      </a:extLst>
                    </a:blip>
                    <a:srcRect t="5060"/>
                    <a:stretch>
                      <a:fillRect/>
                    </a:stretch>
                  </pic:blipFill>
                  <pic:spPr>
                    <a:xfrm>
                      <a:off x="0" y="0"/>
                      <a:ext cx="3623188" cy="5220572"/>
                    </a:xfrm>
                    <a:prstGeom prst="rect">
                      <a:avLst/>
                    </a:prstGeom>
                    <a:noFill/>
                    <a:ln>
                      <a:noFill/>
                    </a:ln>
                  </pic:spPr>
                </pic:pic>
              </a:graphicData>
            </a:graphic>
          </wp:inline>
        </w:drawing>
      </w:r>
    </w:p>
    <w:p>
      <w:pPr>
        <w:widowControl w:val="0"/>
        <w:kinsoku/>
        <w:autoSpaceDE/>
        <w:autoSpaceDN/>
        <w:adjustRightInd w:val="0"/>
        <w:snapToGrid w:val="0"/>
        <w:spacing w:after="0" w:line="360" w:lineRule="auto"/>
        <w:ind w:firstLine="0" w:firstLineChars="0"/>
        <w:jc w:val="center"/>
        <w:textAlignment w:val="auto"/>
        <w:rPr>
          <w:rFonts w:ascii="Times New Roman" w:hAnsi="Times New Roman" w:eastAsia="宋体" w:cs="宋体"/>
          <w:b/>
          <w:snapToGrid/>
          <w:color w:val="000000"/>
          <w:kern w:val="0"/>
          <w:sz w:val="21"/>
          <w:szCs w:val="24"/>
          <w:lang w:val="en-US" w:eastAsia="zh-CN" w:bidi="ar-SA"/>
          <w14:ligatures w14:val="none"/>
        </w:rPr>
      </w:pPr>
      <w:r>
        <w:rPr>
          <w:rFonts w:hint="eastAsia" w:ascii="Times New Roman" w:hAnsi="Times New Roman" w:eastAsia="宋体" w:cs="宋体"/>
          <w:b/>
          <w:snapToGrid/>
          <w:color w:val="000000"/>
          <w:kern w:val="0"/>
          <w:sz w:val="21"/>
          <w:szCs w:val="24"/>
          <w:lang w:val="en-US" w:eastAsia="zh-CN" w:bidi="ar-SA"/>
          <w14:ligatures w14:val="none"/>
        </w:rPr>
        <w:t>图</w:t>
      </w:r>
      <w:r>
        <w:rPr>
          <w:rFonts w:ascii="Times New Roman" w:hAnsi="Times New Roman" w:eastAsia="宋体" w:cs="宋体"/>
          <w:b/>
          <w:snapToGrid/>
          <w:color w:val="000000"/>
          <w:kern w:val="0"/>
          <w:sz w:val="21"/>
          <w:szCs w:val="24"/>
          <w:lang w:val="en-US" w:eastAsia="zh-CN" w:bidi="ar-SA"/>
          <w14:ligatures w14:val="none"/>
        </w:rPr>
        <w:t>1.4-1水源</w:t>
      </w:r>
      <w:r>
        <w:rPr>
          <w:rFonts w:hint="eastAsia" w:ascii="Times New Roman" w:hAnsi="Times New Roman" w:eastAsia="宋体" w:cs="宋体"/>
          <w:b/>
          <w:snapToGrid/>
          <w:color w:val="000000"/>
          <w:kern w:val="0"/>
          <w:sz w:val="21"/>
          <w:szCs w:val="24"/>
          <w:lang w:val="en-US" w:eastAsia="zh-CN" w:bidi="ar-SA"/>
          <w14:ligatures w14:val="none"/>
        </w:rPr>
        <w:t>保护区划分技术路线图</w:t>
      </w:r>
    </w:p>
    <w:p>
      <w:pPr>
        <w:adjustRightInd w:val="0"/>
        <w:snapToGrid w:val="0"/>
        <w:spacing w:line="360" w:lineRule="auto"/>
        <w:ind w:firstLine="643" w:firstLineChars="200"/>
        <w:rPr>
          <w:rFonts w:hint="default" w:ascii="Times New Roman" w:hAnsi="Times New Roman" w:eastAsia="宋体" w:cs="宋体"/>
          <w:kern w:val="0"/>
          <w:sz w:val="28"/>
          <w:lang w:val="en-US" w:eastAsia="zh-CN"/>
        </w:rPr>
      </w:pPr>
      <w:r>
        <w:rPr>
          <w:rFonts w:ascii="Times New Roman" w:hAnsi="Times New Roman" w:eastAsia="宋体" w:cs="Times New Roman"/>
          <w:b/>
          <w:bCs/>
          <w:kern w:val="44"/>
          <w:sz w:val="32"/>
          <w:szCs w:val="44"/>
          <w:lang w:val="en-US" w:eastAsia="zh-CN" w:bidi="ar-SA"/>
        </w:rPr>
        <w:br w:type="page"/>
      </w:r>
    </w:p>
    <w:p>
      <w:pPr>
        <w:widowControl w:val="0"/>
        <w:kinsoku w:val="0"/>
        <w:autoSpaceDE w:val="0"/>
        <w:autoSpaceDN w:val="0"/>
        <w:bidi w:val="0"/>
        <w:adjustRightInd w:val="0"/>
        <w:snapToGrid w:val="0"/>
        <w:spacing w:after="0" w:line="560" w:lineRule="exact"/>
        <w:ind w:firstLine="720" w:firstLineChars="200"/>
        <w:jc w:val="left"/>
        <w:textAlignment w:val="baseline"/>
        <w:outlineLvl w:val="1"/>
        <w:rPr>
          <w:rFonts w:hint="default" w:ascii="Times New Roman" w:hAnsi="Times New Roman" w:eastAsia="楷体_GB2312" w:cs="宋体"/>
          <w:snapToGrid w:val="0"/>
          <w:color w:val="000000"/>
          <w:spacing w:val="20"/>
          <w:kern w:val="0"/>
          <w:sz w:val="32"/>
          <w:szCs w:val="44"/>
          <w:lang w:val="en-US" w:eastAsia="zh-CN" w:bidi="ar-SA"/>
          <w14:ligatures w14:val="none"/>
        </w:rPr>
      </w:pPr>
      <w:bookmarkStart w:id="30" w:name="_Toc31969"/>
      <w:bookmarkStart w:id="31" w:name="_Toc18550"/>
      <w:r>
        <w:rPr>
          <w:rFonts w:hint="eastAsia" w:ascii="Times New Roman" w:hAnsi="Times New Roman" w:eastAsia="楷体_GB2312" w:cs="宋体"/>
          <w:snapToGrid w:val="0"/>
          <w:color w:val="000000"/>
          <w:spacing w:val="20"/>
          <w:kern w:val="0"/>
          <w:sz w:val="32"/>
          <w:szCs w:val="44"/>
          <w:lang w:val="en-US" w:eastAsia="zh-CN" w:bidi="ar-SA"/>
          <w14:ligatures w14:val="none"/>
        </w:rPr>
        <w:t>1.5保护区调整方案</w:t>
      </w:r>
      <w:bookmarkEnd w:id="30"/>
      <w:bookmarkEnd w:id="31"/>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大泉湾乡地下水水源保护区为中小型水源地，按照经验公式法进行保护区调整，最终保护区半径为70m，定界结果如下。</w:t>
      </w:r>
    </w:p>
    <w:p>
      <w:pPr>
        <w:widowControl w:val="0"/>
        <w:kinsoku w:val="0"/>
        <w:autoSpaceDE w:val="0"/>
        <w:autoSpaceDN w:val="0"/>
        <w:bidi w:val="0"/>
        <w:adjustRightInd w:val="0"/>
        <w:snapToGrid w:val="0"/>
        <w:spacing w:after="0" w:line="560" w:lineRule="exact"/>
        <w:ind w:firstLine="616" w:firstLineChars="200"/>
        <w:jc w:val="both"/>
        <w:textAlignment w:val="baseline"/>
        <w:outlineLvl w:val="9"/>
        <w:rPr>
          <w:rFonts w:hint="default" w:ascii="Times New Roman" w:hAnsi="Times New Roman" w:eastAsia="仿宋_GB2312" w:cs="Times New Roman"/>
          <w:bCs/>
          <w:snapToGrid w:val="0"/>
          <w:color w:val="000000"/>
          <w:spacing w:val="-6"/>
          <w:kern w:val="0"/>
          <w:sz w:val="32"/>
          <w:szCs w:val="24"/>
          <w:lang w:val="en-US" w:eastAsia="zh-CN" w:bidi="ar-SA"/>
          <w14:ligatures w14:val="none"/>
        </w:rPr>
      </w:pPr>
      <w:r>
        <w:rPr>
          <w:rFonts w:hint="eastAsia" w:ascii="Times New Roman" w:hAnsi="Times New Roman" w:eastAsia="仿宋_GB2312" w:cs="Times New Roman"/>
          <w:bCs/>
          <w:snapToGrid w:val="0"/>
          <w:color w:val="000000"/>
          <w:spacing w:val="-6"/>
          <w:kern w:val="0"/>
          <w:sz w:val="32"/>
          <w:szCs w:val="24"/>
          <w:lang w:val="en-US" w:eastAsia="zh-CN" w:bidi="ar-SA"/>
          <w14:ligatures w14:val="none"/>
        </w:rPr>
        <w:t>经征求当地供水单位和主管部门意见考虑到当地管理要求和实际情况，井间有大量连接管线需要实施保护，本次水源保护区定界为便于实际管理，采用以3个水源井为井群的整体划分方法。</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定界完成后，一级保护区面积比调整前缩小了94.62%、周长比调整前缩小了70.68%。</w:t>
      </w:r>
    </w:p>
    <w:p>
      <w:pPr>
        <w:widowControl w:val="0"/>
        <w:kinsoku w:val="0"/>
        <w:autoSpaceDE w:val="0"/>
        <w:autoSpaceDN w:val="0"/>
        <w:bidi w:val="0"/>
        <w:adjustRightInd w:val="0"/>
        <w:snapToGrid w:val="0"/>
        <w:spacing w:after="0" w:line="560" w:lineRule="exact"/>
        <w:ind w:firstLine="720" w:firstLineChars="200"/>
        <w:jc w:val="left"/>
        <w:textAlignment w:val="baseline"/>
        <w:outlineLvl w:val="1"/>
        <w:rPr>
          <w:rFonts w:hint="default" w:ascii="Times New Roman" w:hAnsi="Times New Roman" w:eastAsia="楷体_GB2312" w:cs="宋体"/>
          <w:snapToGrid w:val="0"/>
          <w:color w:val="000000"/>
          <w:spacing w:val="20"/>
          <w:kern w:val="0"/>
          <w:sz w:val="32"/>
          <w:szCs w:val="44"/>
          <w:lang w:val="en-US" w:eastAsia="zh-CN" w:bidi="ar-SA"/>
          <w14:ligatures w14:val="none"/>
        </w:rPr>
      </w:pPr>
      <w:bookmarkStart w:id="32" w:name="_Toc9735"/>
      <w:bookmarkStart w:id="33" w:name="_Toc19061"/>
      <w:r>
        <w:rPr>
          <w:rFonts w:hint="eastAsia" w:ascii="Times New Roman" w:hAnsi="Times New Roman" w:eastAsia="楷体_GB2312" w:cs="宋体"/>
          <w:snapToGrid w:val="0"/>
          <w:color w:val="000000"/>
          <w:spacing w:val="20"/>
          <w:kern w:val="0"/>
          <w:sz w:val="32"/>
          <w:szCs w:val="44"/>
          <w:lang w:val="en-US" w:eastAsia="zh-CN" w:bidi="ar-SA"/>
          <w14:ligatures w14:val="none"/>
        </w:rPr>
        <w:t>1.6水源保护区管理要求</w:t>
      </w:r>
      <w:bookmarkEnd w:id="32"/>
      <w:bookmarkEnd w:id="33"/>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eastAsia" w:ascii="Times New Roman" w:hAnsi="Times New Roman" w:eastAsia="仿宋_GB2312" w:cs="Times New Roman"/>
          <w:bCs/>
          <w:snapToGrid w:val="0"/>
          <w:color w:val="000000"/>
          <w:kern w:val="0"/>
          <w:sz w:val="32"/>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根据《中华人民共和国水污染防治法》等有关法律法规和规章制度，结合保护区内污染源现状，对于饮用水水源保护区提出如下管理要求：</w:t>
      </w:r>
    </w:p>
    <w:p>
      <w:pPr>
        <w:widowControl w:val="0"/>
        <w:kinsoku w:val="0"/>
        <w:autoSpaceDE w:val="0"/>
        <w:autoSpaceDN w:val="0"/>
        <w:bidi w:val="0"/>
        <w:adjustRightInd w:val="0"/>
        <w:snapToGrid w:val="0"/>
        <w:spacing w:after="0" w:line="560" w:lineRule="exact"/>
        <w:ind w:firstLine="640" w:firstLineChars="200"/>
        <w:jc w:val="both"/>
        <w:textAlignment w:val="baseline"/>
        <w:outlineLvl w:val="9"/>
        <w:rPr>
          <w:rFonts w:hint="default" w:ascii="Times New Roman" w:hAnsi="Times New Roman" w:eastAsia="宋体" w:cs="宋体"/>
          <w:b/>
          <w:snapToGrid/>
          <w:sz w:val="21"/>
          <w:szCs w:val="24"/>
          <w:lang w:val="en-US" w:eastAsia="zh-CN" w:bidi="ar-SA"/>
          <w14:ligatures w14:val="none"/>
        </w:rPr>
      </w:pPr>
      <w:r>
        <w:rPr>
          <w:rFonts w:hint="eastAsia" w:ascii="Times New Roman" w:hAnsi="Times New Roman" w:eastAsia="仿宋_GB2312" w:cs="Times New Roman"/>
          <w:bCs/>
          <w:snapToGrid w:val="0"/>
          <w:color w:val="000000"/>
          <w:kern w:val="0"/>
          <w:sz w:val="32"/>
          <w:szCs w:val="24"/>
          <w:lang w:val="en-US" w:eastAsia="zh-CN" w:bidi="ar-SA"/>
          <w14:ligatures w14:val="none"/>
        </w:rPr>
        <w:t>——禁止在饮用水水源一级保护区内新建、改建、扩建与供水设施和保护水源无关的建设项目；禁止在饮用水水源一级保护区内从事网箱养殖、旅游、游泳、垂钓或者其他可能污染饮用水水体的活动。</w:t>
      </w:r>
    </w:p>
    <w:p/>
    <w:sectPr>
      <w:headerReference r:id="rId7" w:type="default"/>
      <w:footerReference r:id="rId8"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snapToGrid w:val="0"/>
      <w:spacing w:after="160" w:line="240" w:lineRule="auto"/>
      <w:ind w:firstLine="0" w:firstLineChars="0"/>
      <w:jc w:val="left"/>
      <w:rPr>
        <w:rFonts w:ascii="等线" w:hAnsi="等线" w:eastAsia="等线" w:cs="Times New Roman"/>
        <w:kern w:val="2"/>
        <w:sz w:val="18"/>
        <w:szCs w:val="18"/>
        <w:lang w:val="en-US" w:eastAsia="zh-CN" w:bidi="ar-SA"/>
        <w14:ligatures w14:val="standardContextual"/>
      </w:rPr>
    </w:pPr>
    <w:r>
      <w:rPr>
        <w:rFonts w:ascii="等线" w:hAnsi="等线" w:eastAsia="等线" w:cs="Times New Roman"/>
        <w:kern w:val="2"/>
        <w:sz w:val="18"/>
        <w:szCs w:val="18"/>
        <w:lang w:val="en-US" w:eastAsia="zh-CN" w:bidi="ar-SA"/>
        <w14:ligatures w14:val="standardContextua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adjustRightInd/>
                            <w:snapToGrid w:val="0"/>
                            <w:spacing w:after="160" w:line="240" w:lineRule="auto"/>
                            <w:ind w:firstLine="0" w:firstLineChars="0"/>
                            <w:jc w:val="left"/>
                            <w:rPr>
                              <w:rFonts w:hint="eastAsia" w:ascii="宋体" w:hAnsi="宋体" w:eastAsia="宋体" w:cs="宋体"/>
                              <w:kern w:val="2"/>
                              <w:sz w:val="28"/>
                              <w:szCs w:val="28"/>
                              <w:lang w:val="en-US" w:eastAsia="zh-CN" w:bidi="ar-SA"/>
                              <w14:ligatures w14:val="standardContextual"/>
                            </w:rPr>
                          </w:pPr>
                          <w:r>
                            <w:rPr>
                              <w:rFonts w:hint="eastAsia" w:ascii="宋体" w:hAnsi="宋体" w:eastAsia="宋体" w:cs="宋体"/>
                              <w:kern w:val="2"/>
                              <w:sz w:val="28"/>
                              <w:szCs w:val="28"/>
                              <w:lang w:val="en-US" w:eastAsia="zh-CN" w:bidi="ar-SA"/>
                              <w14:ligatures w14:val="standardContextual"/>
                            </w:rPr>
                            <w:t xml:space="preserve">— </w:t>
                          </w:r>
                          <w:r>
                            <w:rPr>
                              <w:rFonts w:hint="eastAsia" w:ascii="宋体" w:hAnsi="宋体" w:eastAsia="宋体" w:cs="宋体"/>
                              <w:kern w:val="2"/>
                              <w:sz w:val="28"/>
                              <w:szCs w:val="28"/>
                              <w:lang w:val="en-US" w:eastAsia="zh-CN" w:bidi="ar-SA"/>
                              <w14:ligatures w14:val="standardContextual"/>
                            </w:rPr>
                            <w:fldChar w:fldCharType="begin"/>
                          </w:r>
                          <w:r>
                            <w:rPr>
                              <w:rFonts w:hint="eastAsia" w:ascii="宋体" w:hAnsi="宋体" w:eastAsia="宋体" w:cs="宋体"/>
                              <w:kern w:val="2"/>
                              <w:sz w:val="28"/>
                              <w:szCs w:val="28"/>
                              <w:lang w:val="en-US" w:eastAsia="zh-CN" w:bidi="ar-SA"/>
                              <w14:ligatures w14:val="standardContextual"/>
                            </w:rPr>
                            <w:instrText xml:space="preserve"> PAGE  \* MERGEFORMAT </w:instrText>
                          </w:r>
                          <w:r>
                            <w:rPr>
                              <w:rFonts w:hint="eastAsia" w:ascii="宋体" w:hAnsi="宋体" w:eastAsia="宋体" w:cs="宋体"/>
                              <w:kern w:val="2"/>
                              <w:sz w:val="28"/>
                              <w:szCs w:val="28"/>
                              <w:lang w:val="en-US" w:eastAsia="zh-CN" w:bidi="ar-SA"/>
                              <w14:ligatures w14:val="standardContextual"/>
                            </w:rPr>
                            <w:fldChar w:fldCharType="separate"/>
                          </w:r>
                          <w:r>
                            <w:rPr>
                              <w:rFonts w:hint="eastAsia" w:ascii="宋体" w:hAnsi="宋体" w:eastAsia="宋体" w:cs="宋体"/>
                              <w:kern w:val="2"/>
                              <w:sz w:val="28"/>
                              <w:szCs w:val="28"/>
                              <w:lang w:val="en-US" w:eastAsia="zh-CN" w:bidi="ar-SA"/>
                              <w14:ligatures w14:val="standardContextual"/>
                            </w:rPr>
                            <w:t>1</w:t>
                          </w:r>
                          <w:r>
                            <w:rPr>
                              <w:rFonts w:hint="eastAsia" w:ascii="宋体" w:hAnsi="宋体" w:eastAsia="宋体" w:cs="宋体"/>
                              <w:kern w:val="2"/>
                              <w:sz w:val="28"/>
                              <w:szCs w:val="28"/>
                              <w:lang w:val="en-US" w:eastAsia="zh-CN" w:bidi="ar-SA"/>
                              <w14:ligatures w14:val="standardContextual"/>
                            </w:rPr>
                            <w:fldChar w:fldCharType="end"/>
                          </w:r>
                          <w:r>
                            <w:rPr>
                              <w:rFonts w:hint="eastAsia" w:ascii="宋体" w:hAnsi="宋体" w:eastAsia="宋体" w:cs="宋体"/>
                              <w:kern w:val="2"/>
                              <w:sz w:val="28"/>
                              <w:szCs w:val="28"/>
                              <w:lang w:val="en-US" w:eastAsia="zh-CN" w:bidi="ar-SA"/>
                              <w14:ligatures w14:val="standardContextual"/>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pPr>
                      <w:widowControl w:val="0"/>
                      <w:adjustRightInd/>
                      <w:snapToGrid w:val="0"/>
                      <w:spacing w:after="160" w:line="240" w:lineRule="auto"/>
                      <w:ind w:firstLine="0" w:firstLineChars="0"/>
                      <w:jc w:val="left"/>
                      <w:rPr>
                        <w:rFonts w:hint="eastAsia" w:ascii="宋体" w:hAnsi="宋体" w:eastAsia="宋体" w:cs="宋体"/>
                        <w:kern w:val="2"/>
                        <w:sz w:val="28"/>
                        <w:szCs w:val="28"/>
                        <w:lang w:val="en-US" w:eastAsia="zh-CN" w:bidi="ar-SA"/>
                        <w14:ligatures w14:val="standardContextual"/>
                      </w:rPr>
                    </w:pPr>
                    <w:r>
                      <w:rPr>
                        <w:rFonts w:hint="eastAsia" w:ascii="宋体" w:hAnsi="宋体" w:eastAsia="宋体" w:cs="宋体"/>
                        <w:kern w:val="2"/>
                        <w:sz w:val="28"/>
                        <w:szCs w:val="28"/>
                        <w:lang w:val="en-US" w:eastAsia="zh-CN" w:bidi="ar-SA"/>
                        <w14:ligatures w14:val="standardContextual"/>
                      </w:rPr>
                      <w:t xml:space="preserve">— </w:t>
                    </w:r>
                    <w:r>
                      <w:rPr>
                        <w:rFonts w:hint="eastAsia" w:ascii="宋体" w:hAnsi="宋体" w:eastAsia="宋体" w:cs="宋体"/>
                        <w:kern w:val="2"/>
                        <w:sz w:val="28"/>
                        <w:szCs w:val="28"/>
                        <w:lang w:val="en-US" w:eastAsia="zh-CN" w:bidi="ar-SA"/>
                        <w14:ligatures w14:val="standardContextual"/>
                      </w:rPr>
                      <w:fldChar w:fldCharType="begin"/>
                    </w:r>
                    <w:r>
                      <w:rPr>
                        <w:rFonts w:hint="eastAsia" w:ascii="宋体" w:hAnsi="宋体" w:eastAsia="宋体" w:cs="宋体"/>
                        <w:kern w:val="2"/>
                        <w:sz w:val="28"/>
                        <w:szCs w:val="28"/>
                        <w:lang w:val="en-US" w:eastAsia="zh-CN" w:bidi="ar-SA"/>
                        <w14:ligatures w14:val="standardContextual"/>
                      </w:rPr>
                      <w:instrText xml:space="preserve"> PAGE  \* MERGEFORMAT </w:instrText>
                    </w:r>
                    <w:r>
                      <w:rPr>
                        <w:rFonts w:hint="eastAsia" w:ascii="宋体" w:hAnsi="宋体" w:eastAsia="宋体" w:cs="宋体"/>
                        <w:kern w:val="2"/>
                        <w:sz w:val="28"/>
                        <w:szCs w:val="28"/>
                        <w:lang w:val="en-US" w:eastAsia="zh-CN" w:bidi="ar-SA"/>
                        <w14:ligatures w14:val="standardContextual"/>
                      </w:rPr>
                      <w:fldChar w:fldCharType="separate"/>
                    </w:r>
                    <w:r>
                      <w:rPr>
                        <w:rFonts w:hint="eastAsia" w:ascii="宋体" w:hAnsi="宋体" w:eastAsia="宋体" w:cs="宋体"/>
                        <w:kern w:val="2"/>
                        <w:sz w:val="28"/>
                        <w:szCs w:val="28"/>
                        <w:lang w:val="en-US" w:eastAsia="zh-CN" w:bidi="ar-SA"/>
                        <w14:ligatures w14:val="standardContextual"/>
                      </w:rPr>
                      <w:t>1</w:t>
                    </w:r>
                    <w:r>
                      <w:rPr>
                        <w:rFonts w:hint="eastAsia" w:ascii="宋体" w:hAnsi="宋体" w:eastAsia="宋体" w:cs="宋体"/>
                        <w:kern w:val="2"/>
                        <w:sz w:val="28"/>
                        <w:szCs w:val="28"/>
                        <w:lang w:val="en-US" w:eastAsia="zh-CN" w:bidi="ar-SA"/>
                        <w14:ligatures w14:val="standardContextual"/>
                      </w:rPr>
                      <w:fldChar w:fldCharType="end"/>
                    </w:r>
                    <w:r>
                      <w:rPr>
                        <w:rFonts w:hint="eastAsia" w:ascii="宋体" w:hAnsi="宋体" w:eastAsia="宋体" w:cs="宋体"/>
                        <w:kern w:val="2"/>
                        <w:sz w:val="28"/>
                        <w:szCs w:val="28"/>
                        <w:lang w:val="en-US" w:eastAsia="zh-CN" w:bidi="ar-SA"/>
                        <w14:ligatures w14:val="standardContextua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default" w:eastAsiaTheme="minorEastAsia"/>
        <w:lang w:val="en-US" w:eastAsia="zh-CN"/>
      </w:rPr>
    </w:pPr>
    <w:r>
      <w:rPr>
        <w:rFonts w:hint="eastAsia"/>
        <w:lang w:val="en-US" w:eastAsia="zh-CN"/>
      </w:rPr>
      <w:t>哈密市伊州区大泉湾乡地下水源保护区调整技术报告及方案（公参版）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C3A2A"/>
    <w:rsid w:val="465529FF"/>
    <w:rsid w:val="4DF250FF"/>
    <w:rsid w:val="502C3A2A"/>
    <w:rsid w:val="5686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jc w:val="left"/>
      <w:textAlignment w:val="baseline"/>
    </w:pPr>
    <w:rPr>
      <w:rFonts w:ascii="Arial" w:hAnsi="Arial" w:eastAsia="Arial" w:cs="Arial"/>
      <w:snapToGrid w:val="0"/>
      <w:color w:val="000000"/>
      <w:kern w:val="0"/>
      <w:sz w:val="28"/>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djustRightInd/>
      <w:spacing w:after="160" w:line="240" w:lineRule="auto"/>
      <w:ind w:firstLine="0" w:firstLineChars="0"/>
      <w:jc w:val="left"/>
    </w:pPr>
    <w:rPr>
      <w:rFonts w:ascii="等线" w:hAnsi="等线" w:eastAsia="等线" w:cs="Times New Roman"/>
      <w:kern w:val="2"/>
      <w:sz w:val="18"/>
      <w:szCs w:val="18"/>
      <w14:ligatures w14:val="standardContextual"/>
    </w:rPr>
  </w:style>
  <w:style w:type="paragraph" w:styleId="3">
    <w:name w:val="header"/>
    <w:basedOn w:val="1"/>
    <w:unhideWhenUsed/>
    <w:qFormat/>
    <w:uiPriority w:val="99"/>
    <w:pPr>
      <w:tabs>
        <w:tab w:val="center" w:pos="4153"/>
        <w:tab w:val="right" w:pos="8306"/>
      </w:tabs>
      <w:adjustRightInd/>
      <w:spacing w:after="160" w:line="240" w:lineRule="auto"/>
      <w:ind w:firstLine="0" w:firstLineChars="0"/>
      <w:jc w:val="center"/>
    </w:pPr>
    <w:rPr>
      <w:rFonts w:ascii="等线" w:hAnsi="等线" w:eastAsia="等线" w:cs="Times New Roman"/>
      <w:kern w:val="2"/>
      <w:sz w:val="18"/>
      <w:szCs w:val="18"/>
      <w14:ligatures w14:val="standardContextual"/>
    </w:rPr>
  </w:style>
  <w:style w:type="paragraph" w:customStyle="1" w:styleId="6">
    <w:name w:val="图片缩进"/>
    <w:basedOn w:val="1"/>
    <w:qFormat/>
    <w:uiPriority w:val="0"/>
    <w:pPr>
      <w:spacing w:before="50" w:beforeLines="50" w:after="50" w:afterLines="50" w:line="240" w:lineRule="auto"/>
      <w:ind w:left="-200" w:leftChars="-200" w:firstLine="0" w:firstLineChars="0"/>
      <w:jc w:val="center"/>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2805</Words>
  <Characters>3079</Characters>
  <Lines>0</Lines>
  <Paragraphs>0</Paragraphs>
  <TotalTime>13</TotalTime>
  <ScaleCrop>false</ScaleCrop>
  <LinksUpToDate>false</LinksUpToDate>
  <CharactersWithSpaces>3091</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2025-04-17T11:08:00Z</dcterms:created>
  <dc:creator>墨鱼</dc:creator>
  <cp:lastModifiedBy>Administrator</cp:lastModifiedBy>
  <dcterms:modified xsi:type="dcterms:W3CDTF">2025-04-18T05:15:03Z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36AFDF2D8B3D4D09A66284C792A682EE_11</vt:lpwstr>
  </property>
  <property fmtid="{D5CDD505-2E9C-101B-9397-08002B2CF9AE}" pid="4" name="KSOTemplateDocerSaveRecord">
    <vt:lpwstr>eyJoZGlkIjoiNjkxOWFhYTI5M2FlMWMyZGNkZmVmNDNmZDlmNWIyY2IiLCJ1c2VySWQiOiI5OTU1MDM5MDMifQ==</vt:lpwstr>
  </property>
</Properties>
</file>