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40" w:lineRule="exact"/>
        <w:ind w:left="0" w:right="159"/>
        <w:jc w:val="center"/>
        <w:rPr>
          <w:rFonts w:hint="eastAsia" w:ascii="方正小标宋简体" w:hAnsi="方正小标宋简体" w:eastAsia="方正小标宋简体" w:cs="方正小标宋简体"/>
          <w:spacing w:val="-11"/>
          <w:kern w:val="2"/>
          <w:sz w:val="44"/>
          <w:szCs w:val="4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40" w:lineRule="exact"/>
        <w:ind w:left="0" w:right="159"/>
        <w:jc w:val="center"/>
        <w:rPr>
          <w:rFonts w:hint="eastAsia" w:ascii="方正小标宋简体" w:hAnsi="方正小标宋简体" w:eastAsia="方正小标宋简体" w:cs="方正小标宋简体"/>
          <w:spacing w:val="0"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kern w:val="2"/>
          <w:sz w:val="44"/>
          <w:szCs w:val="44"/>
          <w:lang w:val="en-US" w:eastAsia="zh-CN" w:bidi="ar"/>
        </w:rPr>
        <w:t>关于提前下达2025年中央财政衔接推进乡村振兴</w:t>
      </w:r>
      <w:r>
        <w:rPr>
          <w:rFonts w:hint="eastAsia" w:ascii="方正小标宋简体" w:hAnsi="方正小标宋简体" w:eastAsia="方正小标宋简体" w:cs="方正小标宋简体"/>
          <w:spacing w:val="0"/>
          <w:kern w:val="2"/>
          <w:sz w:val="44"/>
          <w:szCs w:val="44"/>
          <w:lang w:val="en-US" w:eastAsia="zh-CN" w:bidi="ar"/>
        </w:rPr>
        <w:t>补助资金预算的通知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40" w:lineRule="exact"/>
        <w:ind w:left="0" w:right="159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zh-TW" w:eastAsia="zh-TW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00" w:lineRule="exact"/>
        <w:jc w:val="both"/>
        <w:textAlignment w:val="auto"/>
        <w:rPr>
          <w:rFonts w:hint="eastAsia" w:ascii="Times New Roman" w:hAnsi="Times New Roman" w:eastAsia="仿宋_GB2312" w:cs="Times New Roman"/>
          <w:w w:val="100"/>
          <w:kern w:val="30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伊州区农业农村局、发改委、统战部</w:t>
      </w:r>
      <w:r>
        <w:rPr>
          <w:rFonts w:hint="eastAsia" w:ascii="Times New Roman" w:hAnsi="Times New Roman" w:eastAsia="仿宋_GB2312" w:cs="Times New Roman"/>
          <w:w w:val="100"/>
          <w:kern w:val="30"/>
          <w:sz w:val="32"/>
          <w:szCs w:val="32"/>
          <w:lang w:val="en-US" w:eastAsia="zh-CN"/>
        </w:rPr>
        <w:t>：</w:t>
      </w: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根据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哈密市财政局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关于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提前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下达202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中央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财政衔接推进乡村振兴补助资金预算的通知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》（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哈市财扶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〔202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〕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号）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现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告知上级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下达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202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年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中央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eastAsia="zh-CN"/>
        </w:rPr>
        <w:t>财政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eastAsia="zh-CN"/>
        </w:rPr>
        <w:t>衔接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eastAsia="zh-CN"/>
        </w:rPr>
        <w:t>推进乡村振兴补助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eastAsia="zh-CN"/>
        </w:rPr>
        <w:t>资金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eastAsia="zh-CN"/>
        </w:rPr>
        <w:t>（以下简称“衔接资金”）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6399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eastAsia="zh-CN"/>
        </w:rPr>
        <w:t>该项目指标列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政府收支分类科目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110023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1巩固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拓展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脱贫攻坚成果衔接乡村振兴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转移支付收入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eastAsia="zh-CN"/>
        </w:rPr>
        <w:t>”、“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21305巩固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拓展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脱贫攻坚成果衔接乡村振兴”科目，</w:t>
      </w:r>
      <w:r>
        <w:rPr>
          <w:rFonts w:hint="eastAsia" w:ascii="Times New Roman" w:hAnsi="Times New Roman" w:cs="Times New Roman"/>
          <w:spacing w:val="0"/>
          <w:w w:val="100"/>
          <w:kern w:val="32"/>
          <w:sz w:val="32"/>
          <w:szCs w:val="32"/>
          <w:lang w:val="en-US" w:eastAsia="zh-CN"/>
        </w:rPr>
        <w:t>待2025年预算年度开始后按程序使用，项目资金主管单位应指导项目资金使用单位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val="en-US" w:eastAsia="zh-CN"/>
        </w:rPr>
        <w:t>按实际支出方向将支出功能科目明确至相应项级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spacing w:val="0"/>
          <w:w w:val="100"/>
          <w:kern w:val="32"/>
          <w:sz w:val="32"/>
          <w:szCs w:val="32"/>
          <w:lang w:eastAsia="zh-CN"/>
        </w:rPr>
        <w:t>具体</w:t>
      </w:r>
      <w:r>
        <w:rPr>
          <w:rFonts w:hint="default" w:ascii="Times New Roman" w:hAnsi="Times New Roman" w:eastAsia="仿宋_GB2312" w:cs="Times New Roman"/>
          <w:spacing w:val="0"/>
          <w:w w:val="100"/>
          <w:kern w:val="32"/>
          <w:sz w:val="32"/>
          <w:szCs w:val="32"/>
        </w:rPr>
        <w:t>要求如下：</w:t>
      </w: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 w:val="0"/>
        <w:topLinePunct w:val="0"/>
        <w:autoSpaceDE w:val="0"/>
        <w:autoSpaceDN w:val="0"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w w:val="100"/>
          <w:kern w:val="30"/>
          <w:sz w:val="32"/>
          <w:szCs w:val="32"/>
          <w:lang w:eastAsia="zh-CN"/>
        </w:rPr>
        <w:t>一、加强资金使用管理。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项目主管部门</w:t>
      </w:r>
      <w:r>
        <w:rPr>
          <w:rFonts w:hint="eastAsia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要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严格按照资金管理办法和指导意见规定的用途使用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资金，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eastAsia="zh-CN"/>
        </w:rPr>
        <w:t>规范支出方向，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不得随意扩大使用范围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严禁资金用于负面清单及与巩固衔接工作无关的事项，严禁发生挤占挪用、贪污侵占、虚报冒领、滞留闲置资金情况。</w:t>
      </w: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 w:val="0"/>
        <w:topLinePunct w:val="0"/>
        <w:autoSpaceDE w:val="0"/>
        <w:autoSpaceDN w:val="0"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w w:val="100"/>
          <w:kern w:val="30"/>
          <w:sz w:val="32"/>
          <w:szCs w:val="32"/>
          <w:lang w:eastAsia="zh-CN"/>
        </w:rPr>
        <w:t>二、突出资金支持重点。</w:t>
      </w:r>
      <w:r>
        <w:rPr>
          <w:rFonts w:hint="eastAsia" w:ascii="仿宋_GB2312" w:hAnsi="仿宋_GB2312" w:cs="仿宋_GB2312"/>
          <w:w w:val="100"/>
          <w:kern w:val="3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w w:val="100"/>
          <w:kern w:val="30"/>
          <w:sz w:val="32"/>
          <w:szCs w:val="32"/>
          <w:lang w:val="en-US" w:eastAsia="zh-CN"/>
        </w:rPr>
        <w:t>主管部门</w:t>
      </w:r>
      <w:r>
        <w:rPr>
          <w:rFonts w:hint="eastAsia" w:ascii="仿宋_GB2312" w:hAnsi="仿宋_GB2312" w:cs="仿宋_GB2312"/>
          <w:w w:val="100"/>
          <w:kern w:val="30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w w:val="100"/>
          <w:kern w:val="30"/>
          <w:sz w:val="32"/>
          <w:szCs w:val="32"/>
          <w:lang w:val="en-US" w:eastAsia="zh-CN"/>
        </w:rPr>
        <w:t>加强项目谋划等前期工作，强化项目审核，严把项目质量</w:t>
      </w:r>
      <w:r>
        <w:rPr>
          <w:rFonts w:hint="eastAsia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突出资金支持重点，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优先支持</w:t>
      </w:r>
      <w:r>
        <w:rPr>
          <w:rFonts w:hint="eastAsia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联农带农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富农产业发展</w:t>
      </w:r>
      <w:r>
        <w:rPr>
          <w:rFonts w:hint="eastAsia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健全完善利益联结机制，带动农民群众稳定就业持续增长，更多分享产业增值收益，增强自我发展能力，更好巩固拓展脱贫攻坚成果，衔接推进乡村全面振兴。</w:t>
      </w: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 w:val="0"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w w:val="100"/>
          <w:kern w:val="3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黑体" w:cs="Times New Roman"/>
          <w:w w:val="100"/>
          <w:kern w:val="3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w w:val="100"/>
          <w:kern w:val="30"/>
          <w:sz w:val="32"/>
          <w:szCs w:val="32"/>
          <w:lang w:eastAsia="zh-CN"/>
        </w:rPr>
        <w:t>强化项目绩效管理。</w:t>
      </w:r>
      <w:r>
        <w:rPr>
          <w:rFonts w:hint="eastAsia" w:ascii="仿宋_GB2312" w:hAnsi="仿宋_GB2312" w:eastAsia="仿宋_GB2312" w:cs="仿宋_GB2312"/>
          <w:w w:val="100"/>
          <w:kern w:val="30"/>
          <w:sz w:val="32"/>
          <w:szCs w:val="32"/>
          <w:lang w:val="en-US" w:eastAsia="zh-CN"/>
        </w:rPr>
        <w:t>压实项目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主管部门预算绩效主体责任，落实全面实施绩效管理要求，建立全过程绩效管理链条，强化绩效目标审核，做好绩效运行监控，扎实开展绩效评价，加强绩效结果运用，突出资金使用成效，确保项目资产权属清晰、运营高效、管护到位、发挥效益。</w:t>
      </w: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 w:val="0"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w w:val="100"/>
          <w:kern w:val="3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w w:val="100"/>
          <w:kern w:val="3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黑体" w:cs="Times New Roman"/>
          <w:w w:val="100"/>
          <w:kern w:val="30"/>
          <w:sz w:val="32"/>
          <w:szCs w:val="32"/>
          <w:lang w:eastAsia="zh-CN"/>
        </w:rPr>
        <w:t>做好公告公示工作。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严格落实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</w:rPr>
        <w:t>项目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信息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</w:rPr>
        <w:t>公告公示制度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要求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</w:rPr>
        <w:t>，对资金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分配结果、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</w:rPr>
        <w:t>年度使用计划、支持项目、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建设内容、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</w:rPr>
        <w:t>补助标准、资金来源及额度等信息按规定的程序进行公告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</w:rPr>
        <w:t>公示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，主动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</w:rPr>
        <w:t>接受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群众和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</w:rPr>
        <w:t>社会监督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Times New Roman"/>
          <w:w w:val="100"/>
          <w:kern w:val="30"/>
          <w:sz w:val="32"/>
          <w:szCs w:val="32"/>
          <w:lang w:val="en-US" w:eastAsia="zh-CN"/>
        </w:rPr>
        <w:t>提高资金使用和项目实施的透明度，促进资金项目规范管理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val="en-US"/>
        </w:rPr>
      </w:pPr>
      <w:r>
        <w:rPr>
          <w:rFonts w:hint="eastAsia" w:ascii="Times New Roman" w:hAnsi="Times New Roman" w:eastAsia="黑体" w:cs="Times New Roman"/>
          <w:w w:val="100"/>
          <w:kern w:val="30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w w:val="100"/>
          <w:kern w:val="3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w w:val="100"/>
          <w:kern w:val="30"/>
          <w:sz w:val="32"/>
          <w:szCs w:val="32"/>
          <w:lang w:val="en-US" w:eastAsia="zh-CN"/>
        </w:rPr>
        <w:t>落实</w:t>
      </w:r>
      <w:r>
        <w:rPr>
          <w:rFonts w:hint="eastAsia" w:ascii="Times New Roman" w:hAnsi="Times New Roman" w:eastAsia="黑体" w:cs="Times New Roman"/>
          <w:w w:val="100"/>
          <w:kern w:val="30"/>
          <w:sz w:val="32"/>
          <w:szCs w:val="32"/>
          <w:lang w:val="en-US" w:eastAsia="zh-CN"/>
        </w:rPr>
        <w:t>预算执行常态化监督要求</w:t>
      </w:r>
      <w:r>
        <w:rPr>
          <w:rFonts w:hint="default" w:ascii="Times New Roman" w:hAnsi="Times New Roman" w:eastAsia="黑体" w:cs="Times New Roman"/>
          <w:w w:val="100"/>
          <w:kern w:val="3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w w:val="100"/>
          <w:kern w:val="30"/>
          <w:sz w:val="32"/>
          <w:szCs w:val="32"/>
          <w:lang w:val="en-US" w:eastAsia="zh-CN"/>
        </w:rPr>
        <w:t>此次下达的中央衔接资金列入转移支付预算执行常态化监督范围，</w:t>
      </w:r>
      <w:r>
        <w:rPr>
          <w:rFonts w:hint="eastAsia" w:ascii="仿宋_GB2312" w:hAnsi="仿宋_GB2312" w:cs="仿宋_GB2312"/>
          <w:w w:val="100"/>
          <w:kern w:val="30"/>
          <w:sz w:val="32"/>
          <w:szCs w:val="32"/>
          <w:lang w:val="en-US" w:eastAsia="zh-CN"/>
        </w:rPr>
        <w:t>区财政部门将</w:t>
      </w:r>
      <w:r>
        <w:rPr>
          <w:rFonts w:hint="eastAsia" w:ascii="仿宋_GB2312" w:hAnsi="仿宋_GB2312" w:eastAsia="仿宋_GB2312" w:cs="仿宋_GB2312"/>
          <w:w w:val="100"/>
          <w:kern w:val="30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cs="仿宋_GB2312"/>
          <w:w w:val="100"/>
          <w:kern w:val="30"/>
          <w:sz w:val="32"/>
          <w:szCs w:val="32"/>
          <w:lang w:val="en-US" w:eastAsia="zh-CN"/>
        </w:rPr>
        <w:t>预算管理一体化系统录入预算指标，保持“追踪”标识不变，并依托预算管理一体化系统转移支付监控模块，加强日常监督，提高转移支付资金管理使用的规范性和有效性。</w:t>
      </w:r>
    </w:p>
    <w:p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w w:val="1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附件：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lang w:val="en-US" w:eastAsia="zh-CN"/>
        </w:rPr>
        <w:t>1．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lang w:val="en-US" w:eastAsia="zh-CN"/>
        </w:rPr>
        <w:t>提前下达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lang w:val="en-US" w:eastAsia="zh-CN"/>
        </w:rPr>
        <w:t>5年中央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>财政衔接推进乡村振兴补助资金分配表</w:t>
      </w:r>
    </w:p>
    <w:p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w w:val="97"/>
          <w:sz w:val="32"/>
          <w:szCs w:val="32"/>
        </w:rPr>
      </w:pP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lang w:val="en-US" w:eastAsia="zh-CN"/>
        </w:rPr>
        <w:t>．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项目支出绩效目标表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2537" w:leftChars="715" w:hanging="249" w:hangingChars="78"/>
        <w:textAlignment w:val="auto"/>
        <w:rPr>
          <w:rFonts w:hint="default" w:ascii="Times New Roman" w:hAnsi="Times New Roman" w:eastAsia="仿宋_GB2312" w:cs="Times New Roman"/>
          <w:w w:val="1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2537" w:leftChars="715" w:hanging="249" w:hangingChars="78"/>
        <w:textAlignment w:val="auto"/>
        <w:rPr>
          <w:rFonts w:hint="default" w:ascii="Times New Roman" w:hAnsi="Times New Roman" w:eastAsia="仿宋_GB2312" w:cs="Times New Roman"/>
          <w:w w:val="10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3840" w:leftChars="1200" w:right="0" w:righ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哈密市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"/>
        </w:rPr>
        <w:t>伊州区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财政局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3840" w:leftChars="120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w w:val="100"/>
          <w:kern w:val="30"/>
          <w:sz w:val="10"/>
          <w:szCs w:val="10"/>
          <w:lang w:val="en-US" w:eastAsia="zh-CN"/>
        </w:rPr>
      </w:pP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202</w:t>
      </w:r>
      <w:r>
        <w:rPr>
          <w:rFonts w:hint="eastAsia" w:cs="Times New Roman"/>
          <w:w w:val="1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年</w:t>
      </w:r>
      <w:r>
        <w:rPr>
          <w:rFonts w:hint="eastAsia" w:ascii="Times New Roman" w:hAnsi="Times New Roman" w:cs="Times New Roman"/>
          <w:w w:val="10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月</w:t>
      </w:r>
      <w:r>
        <w:rPr>
          <w:rFonts w:hint="eastAsia" w:ascii="Times New Roman" w:hAnsi="Times New Roman" w:cs="Times New Roman"/>
          <w:w w:val="1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w w:val="100"/>
          <w:kern w:val="30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1814" w:right="1587" w:bottom="1701" w:left="1587" w:header="851" w:footer="1474" w:gutter="0"/>
      <w:pgNumType w:fmt="numberInDash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511175" cy="32766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1175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4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5.8pt;width:40.25pt;mso-position-horizontal:left;mso-position-horizontal-relative:margin;z-index:251659264;mso-width-relative:page;mso-height-relative:page;" filled="f" stroked="f" coordsize="21600,21600" o:gfxdata="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+NSo3TAAAAAwEAAA8AAAAAAAAAAQAgAAAAIgAAAGRycy9kb3ducmV2Lnht&#10;bFBLAQIUABQAAAAIAIdO4kBYqhuXNwIAAGEEAAAOAAAAAAAAAAEAIAAAACI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4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4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79316B"/>
    <w:rsid w:val="02787C9A"/>
    <w:rsid w:val="02C96062"/>
    <w:rsid w:val="04DC0446"/>
    <w:rsid w:val="051E3CCE"/>
    <w:rsid w:val="075852EE"/>
    <w:rsid w:val="07A53A4E"/>
    <w:rsid w:val="080E71AA"/>
    <w:rsid w:val="08E510A5"/>
    <w:rsid w:val="09F23BEE"/>
    <w:rsid w:val="0A5A47B5"/>
    <w:rsid w:val="0CEA0451"/>
    <w:rsid w:val="0DAA23F7"/>
    <w:rsid w:val="10466B1A"/>
    <w:rsid w:val="11D471CF"/>
    <w:rsid w:val="11E91F46"/>
    <w:rsid w:val="122370B7"/>
    <w:rsid w:val="179A7E3A"/>
    <w:rsid w:val="1B922E93"/>
    <w:rsid w:val="1BF364A2"/>
    <w:rsid w:val="1D985D1B"/>
    <w:rsid w:val="24145AB9"/>
    <w:rsid w:val="2A2C7AF8"/>
    <w:rsid w:val="2A8931F2"/>
    <w:rsid w:val="2C8E17CA"/>
    <w:rsid w:val="2FDB51CF"/>
    <w:rsid w:val="2FF31539"/>
    <w:rsid w:val="3379316B"/>
    <w:rsid w:val="341344FC"/>
    <w:rsid w:val="347D128E"/>
    <w:rsid w:val="35010AFF"/>
    <w:rsid w:val="36F201A1"/>
    <w:rsid w:val="37491A75"/>
    <w:rsid w:val="38A121A2"/>
    <w:rsid w:val="39456E1F"/>
    <w:rsid w:val="427C642D"/>
    <w:rsid w:val="45780A86"/>
    <w:rsid w:val="4888388C"/>
    <w:rsid w:val="4F1372D1"/>
    <w:rsid w:val="50267A8B"/>
    <w:rsid w:val="51395E4E"/>
    <w:rsid w:val="53FE17A6"/>
    <w:rsid w:val="56C72445"/>
    <w:rsid w:val="59226D3A"/>
    <w:rsid w:val="5BA12CE0"/>
    <w:rsid w:val="5E186E95"/>
    <w:rsid w:val="60B967F1"/>
    <w:rsid w:val="616366D4"/>
    <w:rsid w:val="616B2988"/>
    <w:rsid w:val="61733653"/>
    <w:rsid w:val="62D31A78"/>
    <w:rsid w:val="63F26AAE"/>
    <w:rsid w:val="64D07CAE"/>
    <w:rsid w:val="65B968D1"/>
    <w:rsid w:val="6AFC1F97"/>
    <w:rsid w:val="6BE07363"/>
    <w:rsid w:val="6C46644B"/>
    <w:rsid w:val="6E7A1A89"/>
    <w:rsid w:val="6FAC7E0D"/>
    <w:rsid w:val="72F23E57"/>
    <w:rsid w:val="73441033"/>
    <w:rsid w:val="761228B1"/>
    <w:rsid w:val="79A87541"/>
    <w:rsid w:val="7A034666"/>
    <w:rsid w:val="7AAE0268"/>
    <w:rsid w:val="7FB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0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"/>
    </w:rPr>
  </w:style>
  <w:style w:type="paragraph" w:styleId="3">
    <w:name w:val="Body Text"/>
    <w:basedOn w:val="1"/>
    <w:next w:val="1"/>
    <w:link w:val="14"/>
    <w:qFormat/>
    <w:uiPriority w:val="0"/>
    <w:pPr>
      <w:keepNext w:val="0"/>
      <w:keepLines w:val="0"/>
      <w:widowControl w:val="0"/>
      <w:suppressLineNumbers w:val="0"/>
      <w:spacing w:before="120" w:beforeAutospacing="0" w:after="120" w:afterAutospacing="0" w:line="360" w:lineRule="exact"/>
      <w:ind w:left="0" w:right="0" w:firstLine="485" w:firstLineChars="202"/>
      <w:jc w:val="both"/>
    </w:pPr>
    <w:rPr>
      <w:rFonts w:hint="default" w:ascii="Times New Roman" w:hAnsi="Times New Roman" w:eastAsia="宋体" w:cs="Times New Roman"/>
      <w:kern w:val="0"/>
      <w:sz w:val="24"/>
      <w:szCs w:val="24"/>
      <w:lang w:val="en-US" w:eastAsia="zh-CN" w:bidi="ar"/>
    </w:rPr>
  </w:style>
  <w:style w:type="paragraph" w:styleId="4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kern w:val="0"/>
      <w:sz w:val="24"/>
      <w:szCs w:val="21"/>
      <w:lang w:eastAsia="en-US"/>
    </w:rPr>
  </w:style>
  <w:style w:type="paragraph" w:styleId="5">
    <w:name w:val="Body Text Indent 2"/>
    <w:basedOn w:val="1"/>
    <w:link w:val="12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480" w:lineRule="auto"/>
      <w:ind w:left="420" w:leftChars="200" w:right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HTML Preformatted"/>
    <w:basedOn w:val="1"/>
    <w:link w:val="13"/>
    <w:qFormat/>
    <w:uiPriority w:val="0"/>
    <w:pPr>
      <w:keepNext w:val="0"/>
      <w:keepLines w:val="0"/>
      <w:widowControl w:val="0"/>
      <w:suppressLineNumber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21"/>
      <w:szCs w:val="24"/>
      <w:lang w:val="en-US" w:eastAsia="zh-CN" w:bidi="ar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正文文本缩进 2 Char"/>
    <w:basedOn w:val="10"/>
    <w:link w:val="5"/>
    <w:qFormat/>
    <w:uiPriority w:val="0"/>
    <w:rPr>
      <w:kern w:val="2"/>
      <w:sz w:val="21"/>
      <w:szCs w:val="24"/>
    </w:rPr>
  </w:style>
  <w:style w:type="character" w:customStyle="1" w:styleId="13">
    <w:name w:val="HTML 预设格式 Char"/>
    <w:basedOn w:val="10"/>
    <w:link w:val="8"/>
    <w:qFormat/>
    <w:uiPriority w:val="0"/>
    <w:rPr>
      <w:rFonts w:hint="eastAsia" w:ascii="宋体" w:hAnsi="宋体" w:eastAsia="宋体" w:cs="宋体"/>
      <w:kern w:val="2"/>
      <w:sz w:val="21"/>
      <w:szCs w:val="24"/>
    </w:rPr>
  </w:style>
  <w:style w:type="character" w:customStyle="1" w:styleId="14">
    <w:name w:val="正文文本 Char"/>
    <w:basedOn w:val="10"/>
    <w:link w:val="3"/>
    <w:qFormat/>
    <w:uiPriority w:val="0"/>
    <w:rPr>
      <w:rFonts w:hint="default" w:ascii="Times New Roman" w:hAnsi="Times New Roman" w:cs="Times New Roman"/>
      <w:sz w:val="24"/>
      <w:szCs w:val="24"/>
    </w:rPr>
  </w:style>
  <w:style w:type="character" w:customStyle="1" w:styleId="15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6">
    <w:name w:val="font71"/>
    <w:basedOn w:val="10"/>
    <w:qFormat/>
    <w:uiPriority w:val="0"/>
    <w:rPr>
      <w:rFonts w:hint="eastAsia" w:ascii="宋体" w:hAnsi="宋体" w:eastAsia="宋体" w:cs="宋体"/>
      <w:color w:val="000000"/>
      <w:sz w:val="26"/>
      <w:szCs w:val="26"/>
      <w:u w:val="none"/>
    </w:rPr>
  </w:style>
  <w:style w:type="character" w:customStyle="1" w:styleId="17">
    <w:name w:val="font81"/>
    <w:basedOn w:val="10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character" w:customStyle="1" w:styleId="18">
    <w:name w:val="font5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9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59</TotalTime>
  <ScaleCrop>false</ScaleCrop>
  <LinksUpToDate>false</LinksUpToDate>
  <CharactersWithSpaces>0</CharactersWithSpaces>
  <Application>WPS Office_11.8.2.12251_F1E327BC-269C-435d-A152-05C5408002CA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2024-04-22T09:21:00Z</dcterms:created>
  <dc:creator>Administrator</dc:creator>
  <cp:lastModifiedBy>admin</cp:lastModifiedBy>
  <cp:lastPrinted>2024-12-04T11:04:00Z</cp:lastPrinted>
  <dcterms:modified xsi:type="dcterms:W3CDTF">2024-12-09T01:59:26Z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2052-11.8.2.12251</vt:lpwstr>
  </property>
  <property fmtid="{D5CDD505-2E9C-101B-9397-08002B2CF9AE}" pid="3" name="ICV">
    <vt:lpwstr>A12AEECD80D04C56ABFA9124EE3A765C</vt:lpwstr>
  </property>
</Properties>
</file>