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TW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zh-TW" w:eastAsia="zh-CN"/>
        </w:rPr>
        <w:t>哈密市伊州区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2021年度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TW"/>
        </w:rPr>
        <w:t>全面实施预算绩效管理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zh-TW" w:eastAsia="zh-CN"/>
        </w:rPr>
        <w:t>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zh-TW" w:eastAsia="zh-CN"/>
        </w:rPr>
      </w:pP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根据自治区党委、自治区人民政府《关于全面实施预算绩效管理的实施意见》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新党发﹝2018﹞30号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和自治区财政厅《全面实施预算绩效管理的工作方案》（新财预﹝2018﹞158号）及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哈密市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的相关要求，为推进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伊州区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全面实施预算绩效管理，加快构建全方位、全过程、全覆盖的预算绩效管理体系，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我区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开展全面预算绩效管理各项工作，具体情况汇报如下：</w:t>
      </w:r>
    </w:p>
    <w:p>
      <w:pPr>
        <w:numPr>
          <w:ilvl w:val="0"/>
          <w:numId w:val="1"/>
        </w:numPr>
        <w:ind w:left="0" w:leftChars="0"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预算绩效管理工作开展情况</w:t>
      </w:r>
    </w:p>
    <w:p>
      <w:pPr>
        <w:numPr>
          <w:ilvl w:val="-1"/>
          <w:numId w:val="0"/>
        </w:numPr>
        <w:snapToGrid w:val="0"/>
        <w:spacing w:line="580" w:lineRule="exact"/>
        <w:ind w:leftChars="0" w:firstLine="643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事前绩效评估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lightGray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事前绩效评估是全过程预算绩效管理的首要环节。截至目前，组织开展新增项目支出事前绩效评估项目3个，涉及3个预算单位、8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919.00万元财政资金，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通过进行事前绩效评估，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提高预算安排的科学性、精准性，实现事前绩效评估和预算编制有机衔接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从源头上防止财政资金配置低效或无效，确保财政资金运行安全高效。</w:t>
      </w:r>
    </w:p>
    <w:p>
      <w:pPr>
        <w:numPr>
          <w:ilvl w:val="-1"/>
          <w:numId w:val="0"/>
        </w:numPr>
        <w:snapToGrid w:val="0"/>
        <w:spacing w:line="580" w:lineRule="exact"/>
        <w:ind w:leftChars="0" w:firstLine="643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绩效目标管理</w:t>
      </w:r>
    </w:p>
    <w:p>
      <w:pPr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目标是全过程预算绩效管理的基础。截至目前，伊州区共有504个项目，涉及98个部门单位、275,284.21万元，全部设置项目支出绩效目标，共设置三级绩效指标7,227个，定量指标合计数6,201个，量化率达85.80%，实现项目支出绩效目标全覆盖。</w:t>
      </w:r>
    </w:p>
    <w:p>
      <w:pPr>
        <w:numPr>
          <w:ilvl w:val="-1"/>
          <w:numId w:val="0"/>
        </w:numPr>
        <w:snapToGrid w:val="0"/>
        <w:spacing w:line="580" w:lineRule="exact"/>
        <w:ind w:leftChars="0" w:firstLine="643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）绩效监控管理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绩效监控是全过程预算绩效管理的必要环节。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为加强绩效监控，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2021年伊州区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分别开展5月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、8月项目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支出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绩效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监控工作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5月项目支出绩效监控工作，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对471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个项目、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268,795.97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元财政资金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实施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绩效监控，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其中直达资金项目32个、48,912.18万元；财政专项衔接资金项目36个、</w:t>
      </w:r>
      <w:r>
        <w:rPr>
          <w:rFonts w:hint="eastAsia" w:ascii="Times New Roman" w:hAnsi="Times New Roman" w:eastAsia="仿宋_GB2312"/>
          <w:sz w:val="32"/>
          <w:highlight w:val="none"/>
          <w:lang w:val="en-US" w:eastAsia="zh-CN"/>
        </w:rPr>
        <w:t>20,254.68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万元；其他资金项目403个项目、199,629.11万元。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8月项目支出绩效监控工作，对504个项目、269,638.95万元财政资金实施绩效监控，其中直达资金项目47个、54,631.89万元；财政专项衔接资金项目36个、</w:t>
      </w:r>
      <w:r>
        <w:rPr>
          <w:rFonts w:hint="eastAsia" w:ascii="Times New Roman" w:hAnsi="Times New Roman" w:eastAsia="仿宋_GB2312"/>
          <w:sz w:val="32"/>
          <w:lang w:val="en-US" w:eastAsia="zh-CN"/>
        </w:rPr>
        <w:t>18,010.73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万元；其他资金项目421个项目、196,996.33万元。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绩效监控过程中，以绩效目标实现程度为核心，深入分析预算执行过程中存在的问题，及时发现绩效目标偏差，明确偏差原因，整改落实到位，确保绩效目标保质保量实现。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绩效评价和结果应用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评价是全过程预算绩效管理的重要手段。伊州区积极落实绩效评价“双落实”机制，在部门单位全面开展自评的基础上遴选重点项目开展部门评价，形成了单位自评、财政评价、部门评价相结合的绩效评价体系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2020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项目绩效自评工作，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576个项目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（含涉密）、397,272.01万元统一开展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绩效评价，财政资金使用效率评价覆盖率达100%，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形成项目支出自评表551张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2020年度部门评价共计90个（含涉密、合并项目），涉及财政资金102,073.59万元，占2020年度项目支出预算资金25.69%，形成项目支出绩效评价报告84份（不含涉密、合并项目），同时，将绩效评价结果反馈至各部门单位，督促对其发现的问题及时整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hd w:val="clear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同时积极引入第三方机构对2020年度5个重点项目开展绩效评价，涉及资金11,085.38万元，通过设置科学的指标评价体系，提高了绩效评价的独立性和客观性，推动绩效评价及绩效管理工作质量及水平的提升。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="0" w:leftChars="0"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eastAsia="zh-CN"/>
        </w:rPr>
        <w:t>）部门单位整体支出绩效管理</w:t>
      </w:r>
    </w:p>
    <w:p>
      <w:pPr>
        <w:pStyle w:val="13"/>
        <w:numPr>
          <w:ilvl w:val="0"/>
          <w:numId w:val="0"/>
        </w:numPr>
        <w:snapToGrid w:val="0"/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开展全部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187家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预算单位整体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支出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绩效目标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，绩效目标根据部门“三定方案”、中长期规划、行业发展规划等梳理并明确年度工作任务，共设置三级绩效指标5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352个，定量指标合计数4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,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449个，量化率达83.13%，既反映部门单位职责全貌，又合理预计年度绩效目标，确保部门单位职责不脱靶，绩效目标完整准确可衡量，从整体上推动财政支出管理水平提升。</w:t>
      </w:r>
    </w:p>
    <w:p>
      <w:pPr>
        <w:spacing w:line="580" w:lineRule="exact"/>
        <w:ind w:right="159" w:firstLine="640" w:firstLineChars="200"/>
        <w:jc w:val="both"/>
        <w:rPr>
          <w:rFonts w:hint="default" w:ascii="Times New Roman" w:hAnsi="Times New Roman" w:eastAsia="方正小标宋简体" w:cs="Times New Roman"/>
          <w:sz w:val="44"/>
          <w:szCs w:val="44"/>
          <w:lang w:val="zh-TW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同时，于年中开展122家部门单位整体支出绩效监控工作，涉及财政资金406,331.76万元，实现绩效目标完成情况及预算执行进度“双监控”，为绩效目标如期保质保量实现提供了有效保障。</w:t>
      </w:r>
    </w:p>
    <w:p>
      <w:pPr>
        <w:pStyle w:val="13"/>
        <w:numPr>
          <w:ilvl w:val="0"/>
          <w:numId w:val="0"/>
        </w:numPr>
        <w:ind w:left="640" w:leftChars="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存在的问题和困难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</w:rPr>
        <w:t>（一）预算绩效管理制度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建设有待进一步强化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自党的十九大提出建立全面规范透明、标准科学、约束有力的预算制度，全面实施绩效管理以来，绝大部分预算单位已养成申请资金先做绩效的习惯，但对于项目绩效、部门单位整体绩效谁来做，绩效主体责任谁来承担等问题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仍然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拎不清；对于绩效管理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本职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工作呈现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知其然而不知其所以然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趋势。究其原因，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是预算绩效管理制度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建设薄弱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，绩效管理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工作缺乏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行之有效的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保障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机制，造成部门单位承担绩效管理主体责任不够、对绩效管理工作认识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、积极性不高，认为绩效管理纯属财政部门的事，开展绩效工作只是申请财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政资金的流程、办理资金拨付手续的某一环节，扭曲了全面实施预算绩效管理工作的本质要求。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是部门单位内部预算绩效管理制度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缺失，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造成单位负责人和具体项目负责人的绩效主体责任不清；单位内部财务、业务部门之间的绩效管理关系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不清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对绩效目标重视程度不够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是在确定项目绩效目标上，部分预算单位项目总体绩效目标设置核心不突出、效益未体现。二是在分解细化绩效指标上，不够科学合理。存在项目成本指标设置为“项目总成本”，成本指标设置流于形式，脱离强化成本、加强成本管理的目标，不利于后期成本效益分析评价。三是在设置绩效指标值上，缺乏科学依据。部分项目绩效指标预期指标值设置不具备可衡量性；个别项目设定指标值时不参考相关历史数据、行业标准、计划标准等科学依据，取值随意，不利于绩效管理。</w:t>
      </w:r>
    </w:p>
    <w:p>
      <w:pPr>
        <w:numPr>
          <w:ilvl w:val="0"/>
          <w:numId w:val="0"/>
        </w:numPr>
        <w:spacing w:line="580" w:lineRule="exact"/>
        <w:ind w:firstLine="643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绩效评价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结果与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预算安排挂钩</w:t>
      </w: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困难</w:t>
      </w:r>
    </w:p>
    <w:p>
      <w:pPr>
        <w:pStyle w:val="13"/>
        <w:numPr>
          <w:ilvl w:val="0"/>
          <w:numId w:val="0"/>
        </w:num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伊州区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每年按照自治区工作规划组织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包括重点项目绩效评价、纳入预算绩效管理项目自评在内的绩效评价工作。但在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做实预算绩效评价结果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硬化绩效评价结果与预算安排挂钩机制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仍需进一步加强。</w:t>
      </w:r>
    </w:p>
    <w:p>
      <w:pPr>
        <w:pStyle w:val="13"/>
        <w:numPr>
          <w:ilvl w:val="0"/>
          <w:numId w:val="0"/>
        </w:numPr>
        <w:ind w:firstLine="640" w:firstLineChars="200"/>
        <w:outlineLvl w:val="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下一步工作措施</w:t>
      </w:r>
    </w:p>
    <w:p>
      <w:pPr>
        <w:ind w:firstLine="643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（一）推动部门单位内部预算绩效管理制度建设</w:t>
      </w:r>
    </w:p>
    <w:p>
      <w:pPr>
        <w:ind w:firstLine="640" w:firstLineChars="200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强化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全方位、全过程、全覆盖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预算绩效闭环管理体系，促进预算管理与绩效管理深度融合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推进建立健全规范透明、标准科学、约束有力的预算管理制度，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真正将预算绩效管理工作纳入年度重点工作规划、融入部门日常工作。一是坚持制度先行原则，加强内部控制和绩效管理的有机结合，着力构建部门单位预算绩效管理内控制度体系。二是压实单位负责人和具体项目负责人的绩效主体责任；厘清单位内部财务、业务部门之间的绩效管理关系。</w:t>
      </w:r>
    </w:p>
    <w:p>
      <w:pPr>
        <w:ind w:firstLine="643" w:firstLineChars="200"/>
        <w:outlineLvl w:val="1"/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（二）加强绩效目标管理工作</w:t>
      </w:r>
    </w:p>
    <w:p>
      <w:pPr>
        <w:ind w:firstLine="640" w:firstLineChars="200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一是部门单位加强人才培养和教育，提升绩效目标设置科学性。在设定绩效目标及指标上严格按照设置原则，注重《共性项目绩效指标体系》应用，聚焦项目建设核心内容，科学、合理设置绩效目标及指标，确保能够清晰反映预算资金的预期产出和效果。二是财政部门严格绩效审核，落实管理责任。从完整性、相关性等方面，对绩效目标进行实质性审核；从逻辑性、规范性等方面，对绩效目标进行形式审核和技术指导。特别是在预算编报中，针对一些部门对绩效工作重视不够、绩效目标填报质量不高等问题，由相关业务科室督促资金使用单位限期整改，促进绩效目标管理真正落到实处。</w:t>
      </w:r>
    </w:p>
    <w:p>
      <w:pPr>
        <w:ind w:firstLine="643" w:firstLineChars="200"/>
        <w:outlineLvl w:val="1"/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highlight w:val="none"/>
          <w:lang w:val="en-US" w:eastAsia="zh-CN"/>
        </w:rPr>
        <w:t>硬化绩效评价结果与预算安排挂钩机制</w:t>
      </w:r>
    </w:p>
    <w:p>
      <w:pPr>
        <w:ind w:firstLine="640" w:firstLineChars="200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部门单位及时公开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绩效管理情况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加大绩效信息公开力度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引导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单位将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绩效评价结果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信息进行公开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使整个预算从编报、申请到执行、反馈的全过程，受到公众的监督管理，倒逼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部门单位进一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步增强责任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主体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意识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强化绩效管理意识，确保绩效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管理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的有效实施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。二是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财政部门要建立健全绩效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评价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结果应用制度体系，完善评价结果与预算安排和政策调整挂钩机制，对低效无效资金一律削减或取消，对沉淀资金一律按规定收回统筹使用，充分发挥绩效评价结果导向作用，持续优化财政资金分配格局，提高财政资金使用效益。</w:t>
      </w:r>
    </w:p>
    <w:p>
      <w:pPr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p>
      <w:pPr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25A38EB-5E61-465F-9FC5-70B3C2C3151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2" w:fontKey="{C9C6879B-A065-490A-ABCF-943BA92C38F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0068280-5E95-4F89-99F6-A05BE91FB0D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A5BADC9E-DE49-46F9-95A6-9B79FC5AE15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D72643"/>
    <w:multiLevelType w:val="singleLevel"/>
    <w:tmpl w:val="53D7264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F9"/>
    <w:rsid w:val="00076FA0"/>
    <w:rsid w:val="002E395C"/>
    <w:rsid w:val="00360F39"/>
    <w:rsid w:val="003873A6"/>
    <w:rsid w:val="0050232A"/>
    <w:rsid w:val="00744BEC"/>
    <w:rsid w:val="007834F9"/>
    <w:rsid w:val="00855BF4"/>
    <w:rsid w:val="00922C07"/>
    <w:rsid w:val="00922EE3"/>
    <w:rsid w:val="009A629D"/>
    <w:rsid w:val="00B1437E"/>
    <w:rsid w:val="00D74960"/>
    <w:rsid w:val="00DF07E7"/>
    <w:rsid w:val="01DF3934"/>
    <w:rsid w:val="028A7659"/>
    <w:rsid w:val="02E245D5"/>
    <w:rsid w:val="03252A7C"/>
    <w:rsid w:val="04407CB6"/>
    <w:rsid w:val="0488297C"/>
    <w:rsid w:val="05C53143"/>
    <w:rsid w:val="05CE0DE0"/>
    <w:rsid w:val="06104F06"/>
    <w:rsid w:val="066412B3"/>
    <w:rsid w:val="0670230B"/>
    <w:rsid w:val="0824048B"/>
    <w:rsid w:val="083B376F"/>
    <w:rsid w:val="088A5CD8"/>
    <w:rsid w:val="08A40425"/>
    <w:rsid w:val="08A806A1"/>
    <w:rsid w:val="09DD038E"/>
    <w:rsid w:val="09E2601A"/>
    <w:rsid w:val="0AF8673A"/>
    <w:rsid w:val="0B1455E3"/>
    <w:rsid w:val="0B4667BB"/>
    <w:rsid w:val="0B98753F"/>
    <w:rsid w:val="0BF97F67"/>
    <w:rsid w:val="0C673733"/>
    <w:rsid w:val="0C892792"/>
    <w:rsid w:val="0D52289D"/>
    <w:rsid w:val="0D525B0D"/>
    <w:rsid w:val="0E292EF3"/>
    <w:rsid w:val="0EE3711C"/>
    <w:rsid w:val="0F4D5535"/>
    <w:rsid w:val="0FB376FF"/>
    <w:rsid w:val="105427BE"/>
    <w:rsid w:val="108251AD"/>
    <w:rsid w:val="114E5B1C"/>
    <w:rsid w:val="116C28F7"/>
    <w:rsid w:val="117306D7"/>
    <w:rsid w:val="1182211B"/>
    <w:rsid w:val="118640DC"/>
    <w:rsid w:val="12A913A0"/>
    <w:rsid w:val="13806517"/>
    <w:rsid w:val="13C429B7"/>
    <w:rsid w:val="14AB1989"/>
    <w:rsid w:val="14F83F99"/>
    <w:rsid w:val="1527282A"/>
    <w:rsid w:val="15413940"/>
    <w:rsid w:val="1632714E"/>
    <w:rsid w:val="163328BA"/>
    <w:rsid w:val="1641612A"/>
    <w:rsid w:val="16BA5EB3"/>
    <w:rsid w:val="176E53A2"/>
    <w:rsid w:val="17733195"/>
    <w:rsid w:val="17ED2B4C"/>
    <w:rsid w:val="19083C7C"/>
    <w:rsid w:val="19376A56"/>
    <w:rsid w:val="195919B3"/>
    <w:rsid w:val="19BA0C82"/>
    <w:rsid w:val="1A2F7F4B"/>
    <w:rsid w:val="1A7C004F"/>
    <w:rsid w:val="1AA563D0"/>
    <w:rsid w:val="1AD178CD"/>
    <w:rsid w:val="1B9B39E2"/>
    <w:rsid w:val="1BD3244A"/>
    <w:rsid w:val="1C2E4310"/>
    <w:rsid w:val="1C8C7483"/>
    <w:rsid w:val="1C93787B"/>
    <w:rsid w:val="1C9D4B61"/>
    <w:rsid w:val="1C9D5A75"/>
    <w:rsid w:val="1CC17F9B"/>
    <w:rsid w:val="1CF2500C"/>
    <w:rsid w:val="1D00179B"/>
    <w:rsid w:val="1E0C48C4"/>
    <w:rsid w:val="1E155D9E"/>
    <w:rsid w:val="1E1560F2"/>
    <w:rsid w:val="1E714742"/>
    <w:rsid w:val="1EE4066B"/>
    <w:rsid w:val="1F6B551A"/>
    <w:rsid w:val="1F79541C"/>
    <w:rsid w:val="1FC10DC5"/>
    <w:rsid w:val="209E689E"/>
    <w:rsid w:val="21033239"/>
    <w:rsid w:val="21D76A51"/>
    <w:rsid w:val="223F7AC8"/>
    <w:rsid w:val="227E149D"/>
    <w:rsid w:val="232B75E3"/>
    <w:rsid w:val="247B0B6D"/>
    <w:rsid w:val="249F0F03"/>
    <w:rsid w:val="26DB606D"/>
    <w:rsid w:val="26EA363F"/>
    <w:rsid w:val="271122AA"/>
    <w:rsid w:val="273605B7"/>
    <w:rsid w:val="27527972"/>
    <w:rsid w:val="28376EA2"/>
    <w:rsid w:val="287050E6"/>
    <w:rsid w:val="287C121A"/>
    <w:rsid w:val="28897578"/>
    <w:rsid w:val="28C94634"/>
    <w:rsid w:val="28D15531"/>
    <w:rsid w:val="293C1B27"/>
    <w:rsid w:val="29445476"/>
    <w:rsid w:val="29AB04EA"/>
    <w:rsid w:val="2A3544BC"/>
    <w:rsid w:val="2A637349"/>
    <w:rsid w:val="2B1E40D1"/>
    <w:rsid w:val="2B650989"/>
    <w:rsid w:val="2BAC6132"/>
    <w:rsid w:val="2BCF5463"/>
    <w:rsid w:val="2C4E16B6"/>
    <w:rsid w:val="2D522E91"/>
    <w:rsid w:val="2D6B5948"/>
    <w:rsid w:val="2EDA6825"/>
    <w:rsid w:val="2EF5645A"/>
    <w:rsid w:val="2F4A0340"/>
    <w:rsid w:val="2F581564"/>
    <w:rsid w:val="2FAC04A0"/>
    <w:rsid w:val="2FB679A9"/>
    <w:rsid w:val="2FD9756E"/>
    <w:rsid w:val="2FF10AEC"/>
    <w:rsid w:val="305A5334"/>
    <w:rsid w:val="307F6037"/>
    <w:rsid w:val="30C04A6C"/>
    <w:rsid w:val="30D0064A"/>
    <w:rsid w:val="30F93D50"/>
    <w:rsid w:val="3126247C"/>
    <w:rsid w:val="316938B0"/>
    <w:rsid w:val="316F2697"/>
    <w:rsid w:val="32385BDE"/>
    <w:rsid w:val="32461086"/>
    <w:rsid w:val="3340136A"/>
    <w:rsid w:val="33572FA7"/>
    <w:rsid w:val="33817777"/>
    <w:rsid w:val="33A6588F"/>
    <w:rsid w:val="33DF67C7"/>
    <w:rsid w:val="33F179AB"/>
    <w:rsid w:val="33F52B1E"/>
    <w:rsid w:val="34160B39"/>
    <w:rsid w:val="341975E9"/>
    <w:rsid w:val="34A33BF2"/>
    <w:rsid w:val="34AA49BB"/>
    <w:rsid w:val="35A41DB0"/>
    <w:rsid w:val="3611794E"/>
    <w:rsid w:val="362C18B3"/>
    <w:rsid w:val="36361B85"/>
    <w:rsid w:val="369E2BA4"/>
    <w:rsid w:val="36C73275"/>
    <w:rsid w:val="374B0276"/>
    <w:rsid w:val="375E430E"/>
    <w:rsid w:val="376844B5"/>
    <w:rsid w:val="38222509"/>
    <w:rsid w:val="387527B5"/>
    <w:rsid w:val="38C93D8D"/>
    <w:rsid w:val="38E701AC"/>
    <w:rsid w:val="391B51D5"/>
    <w:rsid w:val="39A43F48"/>
    <w:rsid w:val="39BC7DBC"/>
    <w:rsid w:val="3A522D71"/>
    <w:rsid w:val="3A606E34"/>
    <w:rsid w:val="3AF23627"/>
    <w:rsid w:val="3B3413A0"/>
    <w:rsid w:val="3BFD2ABA"/>
    <w:rsid w:val="3C0A6D34"/>
    <w:rsid w:val="3C884AC0"/>
    <w:rsid w:val="3C9A346E"/>
    <w:rsid w:val="3CEE2274"/>
    <w:rsid w:val="3D28761A"/>
    <w:rsid w:val="3E7963FF"/>
    <w:rsid w:val="3EF51718"/>
    <w:rsid w:val="3F7A759E"/>
    <w:rsid w:val="3FDF1598"/>
    <w:rsid w:val="3FEF513A"/>
    <w:rsid w:val="3FF7719E"/>
    <w:rsid w:val="400F1DF8"/>
    <w:rsid w:val="40AE2F3B"/>
    <w:rsid w:val="415B3270"/>
    <w:rsid w:val="42674E1B"/>
    <w:rsid w:val="427D63F5"/>
    <w:rsid w:val="42D97F06"/>
    <w:rsid w:val="434F0981"/>
    <w:rsid w:val="43D36956"/>
    <w:rsid w:val="44AC5510"/>
    <w:rsid w:val="45343462"/>
    <w:rsid w:val="459E4B1B"/>
    <w:rsid w:val="45BC11D8"/>
    <w:rsid w:val="464F5979"/>
    <w:rsid w:val="46CD46C8"/>
    <w:rsid w:val="46E72439"/>
    <w:rsid w:val="4740445F"/>
    <w:rsid w:val="475A2882"/>
    <w:rsid w:val="47670BF6"/>
    <w:rsid w:val="480D76E4"/>
    <w:rsid w:val="482F19AD"/>
    <w:rsid w:val="485F0968"/>
    <w:rsid w:val="48605ABC"/>
    <w:rsid w:val="48A36341"/>
    <w:rsid w:val="49135C96"/>
    <w:rsid w:val="492859DE"/>
    <w:rsid w:val="4A1F36C5"/>
    <w:rsid w:val="4AD14476"/>
    <w:rsid w:val="4B085C96"/>
    <w:rsid w:val="4B101F6A"/>
    <w:rsid w:val="4C3D5E45"/>
    <w:rsid w:val="4E1D5BB4"/>
    <w:rsid w:val="4E406E15"/>
    <w:rsid w:val="4F1F5504"/>
    <w:rsid w:val="4FD01E7F"/>
    <w:rsid w:val="4FD63639"/>
    <w:rsid w:val="50764D7E"/>
    <w:rsid w:val="508C694B"/>
    <w:rsid w:val="50D361BF"/>
    <w:rsid w:val="510657B5"/>
    <w:rsid w:val="5151080D"/>
    <w:rsid w:val="51732A38"/>
    <w:rsid w:val="51733572"/>
    <w:rsid w:val="51DE3159"/>
    <w:rsid w:val="52D92008"/>
    <w:rsid w:val="534E64DE"/>
    <w:rsid w:val="53682217"/>
    <w:rsid w:val="53822E53"/>
    <w:rsid w:val="53B834D0"/>
    <w:rsid w:val="546F2C29"/>
    <w:rsid w:val="5745607F"/>
    <w:rsid w:val="574612A7"/>
    <w:rsid w:val="57A52975"/>
    <w:rsid w:val="57AD3A62"/>
    <w:rsid w:val="57B50EB4"/>
    <w:rsid w:val="57F47050"/>
    <w:rsid w:val="58360B36"/>
    <w:rsid w:val="583F03AE"/>
    <w:rsid w:val="58622737"/>
    <w:rsid w:val="587937B6"/>
    <w:rsid w:val="589135E6"/>
    <w:rsid w:val="58E87D7A"/>
    <w:rsid w:val="596728B1"/>
    <w:rsid w:val="596974EB"/>
    <w:rsid w:val="596976FD"/>
    <w:rsid w:val="59770188"/>
    <w:rsid w:val="597E10FC"/>
    <w:rsid w:val="59E15942"/>
    <w:rsid w:val="5A93283D"/>
    <w:rsid w:val="5AAA31D2"/>
    <w:rsid w:val="5AD67B67"/>
    <w:rsid w:val="5B0159F7"/>
    <w:rsid w:val="5B9E0317"/>
    <w:rsid w:val="5C017802"/>
    <w:rsid w:val="5C1B42CB"/>
    <w:rsid w:val="5CB229A9"/>
    <w:rsid w:val="5CBE11BB"/>
    <w:rsid w:val="5CD10C1B"/>
    <w:rsid w:val="5D2A341C"/>
    <w:rsid w:val="5D334C2A"/>
    <w:rsid w:val="5D3A43C5"/>
    <w:rsid w:val="5D7F02CA"/>
    <w:rsid w:val="5DF70D68"/>
    <w:rsid w:val="5E27649F"/>
    <w:rsid w:val="607133C1"/>
    <w:rsid w:val="60796373"/>
    <w:rsid w:val="60F45946"/>
    <w:rsid w:val="618D5C6B"/>
    <w:rsid w:val="61B76844"/>
    <w:rsid w:val="61E10A2E"/>
    <w:rsid w:val="62BD1C70"/>
    <w:rsid w:val="630B1AE5"/>
    <w:rsid w:val="63473BF7"/>
    <w:rsid w:val="63661743"/>
    <w:rsid w:val="638D3B6F"/>
    <w:rsid w:val="64042BB6"/>
    <w:rsid w:val="64432611"/>
    <w:rsid w:val="64CC58D2"/>
    <w:rsid w:val="650C4039"/>
    <w:rsid w:val="65137847"/>
    <w:rsid w:val="65A56615"/>
    <w:rsid w:val="662A1940"/>
    <w:rsid w:val="667F673D"/>
    <w:rsid w:val="66845A65"/>
    <w:rsid w:val="6759337C"/>
    <w:rsid w:val="678E6FEB"/>
    <w:rsid w:val="67906E3E"/>
    <w:rsid w:val="67CA0319"/>
    <w:rsid w:val="67FB0159"/>
    <w:rsid w:val="68096DAA"/>
    <w:rsid w:val="685023E3"/>
    <w:rsid w:val="696F56E0"/>
    <w:rsid w:val="69CC3579"/>
    <w:rsid w:val="69F856F5"/>
    <w:rsid w:val="69FD29C0"/>
    <w:rsid w:val="6A0E0282"/>
    <w:rsid w:val="6A69190F"/>
    <w:rsid w:val="6B09770B"/>
    <w:rsid w:val="6B222AE2"/>
    <w:rsid w:val="6BA62C7C"/>
    <w:rsid w:val="6C1D31A5"/>
    <w:rsid w:val="6C81741B"/>
    <w:rsid w:val="6D5A07AB"/>
    <w:rsid w:val="6D755A06"/>
    <w:rsid w:val="6DF10D7F"/>
    <w:rsid w:val="6ED24CBD"/>
    <w:rsid w:val="6EEA7746"/>
    <w:rsid w:val="6F827607"/>
    <w:rsid w:val="6FE0139E"/>
    <w:rsid w:val="6FEC0000"/>
    <w:rsid w:val="702B775B"/>
    <w:rsid w:val="704A4D27"/>
    <w:rsid w:val="70867DE8"/>
    <w:rsid w:val="70D05AB3"/>
    <w:rsid w:val="71266714"/>
    <w:rsid w:val="71667B0B"/>
    <w:rsid w:val="716B3F5C"/>
    <w:rsid w:val="71881FAB"/>
    <w:rsid w:val="72264F34"/>
    <w:rsid w:val="723F244D"/>
    <w:rsid w:val="72585D1A"/>
    <w:rsid w:val="731754FE"/>
    <w:rsid w:val="739A10D6"/>
    <w:rsid w:val="73EF520D"/>
    <w:rsid w:val="74B31BC9"/>
    <w:rsid w:val="76D25858"/>
    <w:rsid w:val="77217EED"/>
    <w:rsid w:val="778E51FA"/>
    <w:rsid w:val="77DF7A2C"/>
    <w:rsid w:val="787D3B83"/>
    <w:rsid w:val="78A655B0"/>
    <w:rsid w:val="79456A46"/>
    <w:rsid w:val="795D38D6"/>
    <w:rsid w:val="797102A6"/>
    <w:rsid w:val="79D61937"/>
    <w:rsid w:val="79FB4B4A"/>
    <w:rsid w:val="7A6B5368"/>
    <w:rsid w:val="7AD67E35"/>
    <w:rsid w:val="7AE548F5"/>
    <w:rsid w:val="7AFF0EE5"/>
    <w:rsid w:val="7CE13354"/>
    <w:rsid w:val="7CF93269"/>
    <w:rsid w:val="7D8B2F75"/>
    <w:rsid w:val="7DA24E72"/>
    <w:rsid w:val="7E492AC2"/>
    <w:rsid w:val="7EF571AD"/>
    <w:rsid w:val="7F400CF8"/>
    <w:rsid w:val="7F5B4A6A"/>
    <w:rsid w:val="7F71375C"/>
    <w:rsid w:val="7F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 2"/>
    <w:basedOn w:val="3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styleId="10">
    <w:name w:val="FollowedHyperlink"/>
    <w:basedOn w:val="9"/>
    <w:semiHidden/>
    <w:unhideWhenUsed/>
    <w:qFormat/>
    <w:uiPriority w:val="99"/>
    <w:rPr>
      <w:color w:val="800080"/>
      <w:u w:val="none"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none"/>
    </w:rPr>
  </w:style>
  <w:style w:type="character" w:customStyle="1" w:styleId="12">
    <w:name w:val="标题 1 Char"/>
    <w:basedOn w:val="9"/>
    <w:link w:val="2"/>
    <w:qFormat/>
    <w:uiPriority w:val="9"/>
    <w:rPr>
      <w:b/>
      <w:bCs/>
      <w:kern w:val="44"/>
      <w:sz w:val="44"/>
      <w:szCs w:val="4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bsharetext"/>
    <w:basedOn w:val="9"/>
    <w:qFormat/>
    <w:uiPriority w:val="0"/>
  </w:style>
  <w:style w:type="paragraph" w:customStyle="1" w:styleId="15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44</Words>
  <Characters>255</Characters>
  <Lines>2</Lines>
  <Paragraphs>1</Paragraphs>
  <TotalTime>9</TotalTime>
  <ScaleCrop>false</ScaleCrop>
  <LinksUpToDate>false</LinksUpToDate>
  <CharactersWithSpaces>298</CharactersWithSpaces>
  <Application>WPS Office_11.8.2.12251_F1E327BC-269C-435d-A152-05C5408002CA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2019-06-18T11:56:00Z</dcterms:created>
  <dc:creator>赵 恺（预算处）</dc:creator>
  <cp:lastModifiedBy>Administrator</cp:lastModifiedBy>
  <cp:lastPrinted>2019-11-07T05:10:00Z</cp:lastPrinted>
  <dcterms:modified xsi:type="dcterms:W3CDTF">2024-11-12T08:11:18Z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2052-11.8.2.12251</vt:lpwstr>
  </property>
  <property fmtid="{D5CDD505-2E9C-101B-9397-08002B2CF9AE}" pid="3" name="ICV">
    <vt:lpwstr>2697913D5F394F6EB5B384FD9EE60CAC</vt:lpwstr>
  </property>
</Properties>
</file>