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关于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1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年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伊州区</w:t>
      </w:r>
      <w:r>
        <w:rPr>
          <w:rFonts w:hint="eastAsia" w:ascii="方正小标宋_GBK" w:eastAsia="方正小标宋_GBK"/>
          <w:sz w:val="44"/>
          <w:szCs w:val="44"/>
        </w:rPr>
        <w:t>转移支付执行情况</w:t>
      </w:r>
    </w:p>
    <w:p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的说明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根据预算法和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决算工作的相关要求，现将 2021年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伊州区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转移支付执行情况说明如下：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上级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一般公共预算转移支付补助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270631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增加8234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增长3.14</w:t>
      </w:r>
      <w:r>
        <w:rPr>
          <w:rFonts w:hint="eastAsia" w:ascii="仿宋_GB2312" w:hAnsi="仿宋_GB2312" w:eastAsia="仿宋_GB2312" w:cs="仿宋_GB2312"/>
          <w:sz w:val="32"/>
          <w:szCs w:val="32"/>
        </w:rPr>
        <w:t>%。其中：返还性收入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25631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3795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%；一般性转移支付收入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212418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增加23635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增长12.52</w:t>
      </w:r>
      <w:r>
        <w:rPr>
          <w:rFonts w:hint="eastAsia" w:ascii="仿宋_GB2312" w:hAnsi="仿宋_GB2312" w:eastAsia="仿宋_GB2312" w:cs="仿宋_GB2312"/>
          <w:sz w:val="32"/>
          <w:szCs w:val="32"/>
        </w:rPr>
        <w:t>%；专项转移支付收入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32582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11606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26.27</w:t>
      </w:r>
      <w:r>
        <w:rPr>
          <w:rFonts w:hint="eastAsia" w:ascii="仿宋_GB2312" w:hAnsi="仿宋_GB2312" w:eastAsia="仿宋_GB2312" w:cs="仿宋_GB2312"/>
          <w:sz w:val="32"/>
          <w:szCs w:val="32"/>
        </w:rPr>
        <w:t>%。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上级补助收入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总体增加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的主要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是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中央和自治区财政加大了共同财政事权转移支付力度，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其中：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教育、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文化旅游、社会保障和就业、医疗卫生、农林水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共同财政事权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一般性转移支付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补助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增加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政府性基金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预算上级补助收入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1153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60783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98.14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%。上级补助收入减少主要是2020 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</w:t>
      </w:r>
      <w:r>
        <w:rPr>
          <w:rFonts w:hint="eastAsia" w:ascii="仿宋_GB2312" w:hAnsi="仿宋_GB2312" w:eastAsia="仿宋_GB2312" w:cs="仿宋_GB2312"/>
          <w:sz w:val="32"/>
          <w:szCs w:val="32"/>
        </w:rPr>
        <w:t>下达抗疫特别国债转移支付补助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60000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，2021年无此因素。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国有资本经营预算转移支付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971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609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</w:rPr>
        <w:t>，增长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168.23</w:t>
      </w:r>
      <w:r>
        <w:rPr>
          <w:rFonts w:hint="eastAsia" w:ascii="仿宋_GB2312" w:hAnsi="仿宋_GB2312" w:eastAsia="仿宋_GB2312" w:cs="仿宋_GB2312"/>
          <w:sz w:val="32"/>
          <w:szCs w:val="32"/>
        </w:rPr>
        <w:t>%。上级补助收入增加主要是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自治区对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伊州区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国有企业退休人员社会化管理补助增加。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52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具体项目明细：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   单位：万元</w:t>
      </w:r>
    </w:p>
    <w:tbl>
      <w:tblPr>
        <w:tblStyle w:val="4"/>
        <w:tblW w:w="82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49"/>
        <w:gridCol w:w="25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一般公共预算转移支付收入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default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lang w:val="en-US" w:eastAsia="zh-CN"/>
              </w:rPr>
              <w:t>270631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一、返还性收入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25,631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所得税基数返还收入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成品油税费改革税收返还收入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增值税税收返还收入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消费税税收返还收入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增值税“五五分享”税收返还收入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其他返还性收入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14,881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二、一般性转移支付收入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212,418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体制补助收入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均衡性转移支付收入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17,236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县级基本财力保障机制奖补资金收入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6,819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结算补助收入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资源枯竭型城市转移支付补助收入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企业事业单位划转补助收入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产粮(油)大县奖励资金收入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重点生态功能区转移支付收入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固定数额补助收入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35,124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革命老区转移支付收入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民族地区转移支付收入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12,000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边境地区转移支付收入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4,585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贫困地区转移支付收入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5,726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一般公共服务共同财政事权转移支付收入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外交共同财政事权转移支付收入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国防共同财政事权转移支付收入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公共安全共同财政事权转移支付收入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4,289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教育共同财政事权转移支付收入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15,552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科学技术共同财政事权转移支付收入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文化旅游体育与传媒共同财政事权转移支付收入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1,410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社会保障和就业共同财政事权转移支付收入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20,609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医疗卫生共同财政事权转移支付收入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18,606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节能环保共同财政事权转移支付收入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城乡社区共同财政事权转移支付收入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农林水共同财政事权转移支付收入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22,211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交通运输共同财政事权转移支付收入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资源勘探工业信息等共同财政事权转移支付收入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商业服务业等共同财政事权转移支付收入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金融共同财政事权转移支付收入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自然资源海洋气象等共同财政事权转移支付收入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住房保障共同财政事权转移支付收入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2,662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粮油物资储备共同财政事权转移支付收入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灾害防治及应急管理共同财政事权转移支付收入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其他共同财政事权转移支付收入  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其他一般性转移支付收入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34,547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三、专项转移支付收入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32,582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一般公共服务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外交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国防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公共安全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教育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科学技术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文化旅游体育与传媒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社会保障和就业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1,576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卫生健康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1,968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节能环保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2,063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城乡社区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农林水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4,126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交通运输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资源勘探工业信息等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2,337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商业服务业等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金融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自然资源海洋气象等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住房保障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15,668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　　粮油物资储备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灾害防治及应急管理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  <w:lang w:val="en-US" w:eastAsia="zh-CN"/>
              </w:rPr>
              <w:t xml:space="preserve">    其他收入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default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2766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政府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性基金转移支付收入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1153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国有</w:t>
            </w:r>
            <w:r>
              <w:rPr>
                <w:rFonts w:ascii="宋体" w:hAnsi="宋体" w:eastAsia="宋体" w:cs="宋体"/>
                <w:b/>
                <w:bCs/>
                <w:kern w:val="0"/>
                <w:sz w:val="22"/>
              </w:rPr>
              <w:t>资本经营预算转移支付收入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971</w:t>
            </w:r>
          </w:p>
        </w:tc>
      </w:tr>
    </w:tbl>
    <w:p>
      <w:pPr>
        <w:ind w:firstLine="640" w:firstLineChars="200"/>
        <w:rPr>
          <w:rFonts w:ascii="仿宋_GB2312" w:hAnsi="黑体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3EC"/>
    <w:rsid w:val="00030A09"/>
    <w:rsid w:val="00044985"/>
    <w:rsid w:val="0006148C"/>
    <w:rsid w:val="000A1ADB"/>
    <w:rsid w:val="000E13C7"/>
    <w:rsid w:val="000E45E7"/>
    <w:rsid w:val="000E5FB3"/>
    <w:rsid w:val="000F21C1"/>
    <w:rsid w:val="00103FAF"/>
    <w:rsid w:val="00157CCF"/>
    <w:rsid w:val="001952EE"/>
    <w:rsid w:val="001C2990"/>
    <w:rsid w:val="001D460E"/>
    <w:rsid w:val="001E0724"/>
    <w:rsid w:val="00276216"/>
    <w:rsid w:val="002A318B"/>
    <w:rsid w:val="002A6FA6"/>
    <w:rsid w:val="002C17BF"/>
    <w:rsid w:val="00334131"/>
    <w:rsid w:val="0034026F"/>
    <w:rsid w:val="003805C6"/>
    <w:rsid w:val="00390771"/>
    <w:rsid w:val="003D331E"/>
    <w:rsid w:val="0040390C"/>
    <w:rsid w:val="00424013"/>
    <w:rsid w:val="00432907"/>
    <w:rsid w:val="0045542C"/>
    <w:rsid w:val="00480722"/>
    <w:rsid w:val="00486B6C"/>
    <w:rsid w:val="004A726F"/>
    <w:rsid w:val="004B1E27"/>
    <w:rsid w:val="004E3375"/>
    <w:rsid w:val="004E3BC7"/>
    <w:rsid w:val="00513149"/>
    <w:rsid w:val="00522A41"/>
    <w:rsid w:val="00597593"/>
    <w:rsid w:val="005B7EE1"/>
    <w:rsid w:val="005D378B"/>
    <w:rsid w:val="00630B4E"/>
    <w:rsid w:val="006A46AE"/>
    <w:rsid w:val="006E097B"/>
    <w:rsid w:val="007016C2"/>
    <w:rsid w:val="00705F74"/>
    <w:rsid w:val="00767D36"/>
    <w:rsid w:val="007F63EC"/>
    <w:rsid w:val="00830A9A"/>
    <w:rsid w:val="008766C4"/>
    <w:rsid w:val="008A3C38"/>
    <w:rsid w:val="008D5B03"/>
    <w:rsid w:val="00910DC1"/>
    <w:rsid w:val="00950636"/>
    <w:rsid w:val="0097748C"/>
    <w:rsid w:val="00986951"/>
    <w:rsid w:val="0099697D"/>
    <w:rsid w:val="009B187D"/>
    <w:rsid w:val="009B447D"/>
    <w:rsid w:val="009B6DD5"/>
    <w:rsid w:val="009D7DCF"/>
    <w:rsid w:val="009E1DFA"/>
    <w:rsid w:val="00A03E35"/>
    <w:rsid w:val="00A11FD3"/>
    <w:rsid w:val="00AD005A"/>
    <w:rsid w:val="00AD1748"/>
    <w:rsid w:val="00AD77FB"/>
    <w:rsid w:val="00AE1F43"/>
    <w:rsid w:val="00BA4FD2"/>
    <w:rsid w:val="00BF1C9A"/>
    <w:rsid w:val="00C50ED2"/>
    <w:rsid w:val="00C56AB2"/>
    <w:rsid w:val="00C80943"/>
    <w:rsid w:val="00CC4609"/>
    <w:rsid w:val="00D042FD"/>
    <w:rsid w:val="00D04CE2"/>
    <w:rsid w:val="00D56B63"/>
    <w:rsid w:val="00DD71F0"/>
    <w:rsid w:val="00E31944"/>
    <w:rsid w:val="00E50E55"/>
    <w:rsid w:val="00E744F2"/>
    <w:rsid w:val="00E761AD"/>
    <w:rsid w:val="00EB4789"/>
    <w:rsid w:val="00F34898"/>
    <w:rsid w:val="00F51CCC"/>
    <w:rsid w:val="00F90817"/>
    <w:rsid w:val="00FA2E1C"/>
    <w:rsid w:val="00FD2C7A"/>
    <w:rsid w:val="02EA1B25"/>
    <w:rsid w:val="07E523BC"/>
    <w:rsid w:val="098720D8"/>
    <w:rsid w:val="0CEA506D"/>
    <w:rsid w:val="0DFF0627"/>
    <w:rsid w:val="1DE50ED2"/>
    <w:rsid w:val="1EC335A7"/>
    <w:rsid w:val="1ED94EE3"/>
    <w:rsid w:val="23E503AF"/>
    <w:rsid w:val="24A014E0"/>
    <w:rsid w:val="2588073A"/>
    <w:rsid w:val="3D7370A8"/>
    <w:rsid w:val="48261BF1"/>
    <w:rsid w:val="4A437A0D"/>
    <w:rsid w:val="4BC97346"/>
    <w:rsid w:val="4C9043CC"/>
    <w:rsid w:val="4D6D601E"/>
    <w:rsid w:val="51354DC4"/>
    <w:rsid w:val="57FC25C8"/>
    <w:rsid w:val="5B945C9A"/>
    <w:rsid w:val="630F2A0E"/>
    <w:rsid w:val="65997C9A"/>
    <w:rsid w:val="66556B67"/>
    <w:rsid w:val="77622836"/>
    <w:rsid w:val="7778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3239C4-CE4F-458A-91DF-8FAF31B460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XJCZT</Company>
  <Pages>4</Pages>
  <Words>311</Words>
  <Characters>1773</Characters>
  <Lines>14</Lines>
  <Paragraphs>4</Paragraphs>
  <TotalTime>31</TotalTime>
  <ScaleCrop>false</ScaleCrop>
  <LinksUpToDate>false</LinksUpToDate>
  <CharactersWithSpaces>2080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2019-07-25T11:43:00Z</dcterms:created>
  <dc:creator>CurUserName</dc:creator>
  <cp:lastModifiedBy>zhouman</cp:lastModifiedBy>
  <cp:lastPrinted>2019-09-06T02:26:00Z</cp:lastPrinted>
  <dcterms:modified xsi:type="dcterms:W3CDTF">2022-10-12T07:26:55Z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