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before="100" w:beforeAutospacing="1" w:after="100" w:afterAutospacing="1"/>
        <w:jc w:val="center"/>
        <w:outlineLvl w:val="1"/>
        <w:rPr>
          <w:rFonts w:ascii="仿宋_GB2312" w:hAnsi="仿宋_GB2312" w:eastAsia="仿宋_GB2312" w:cs="仿宋_GB2312"/>
          <w:spacing w:val="5"/>
          <w:sz w:val="32"/>
          <w:szCs w:val="32"/>
        </w:rPr>
      </w:pPr>
      <w:r>
        <w:rPr>
          <w:rFonts w:hint="eastAsia" w:ascii="方正小标宋_GBK" w:hAnsi="宋体" w:eastAsia="方正小标宋_GBK" w:cs="方正小标宋_GBK"/>
          <w:kern w:val="0"/>
          <w:sz w:val="44"/>
          <w:szCs w:val="44"/>
        </w:rPr>
        <w:t>关于</w:t>
      </w:r>
      <w:bookmarkStart w:id="0" w:name="_GoBack"/>
      <w:r>
        <w:rPr>
          <w:rFonts w:hint="eastAsia" w:ascii="方正小标宋_GBK" w:hAnsi="宋体" w:eastAsia="方正小标宋_GBK" w:cs="方正小标宋_GBK"/>
          <w:kern w:val="0"/>
          <w:sz w:val="44"/>
          <w:szCs w:val="44"/>
        </w:rPr>
        <w:t>哈密市伊州区</w:t>
      </w:r>
      <w:r>
        <w:rPr>
          <w:rFonts w:hint="eastAsia" w:ascii="方正小标宋_GBK" w:hAnsi="宋体" w:eastAsia="方正小标宋_GBK" w:cs="方正小标宋_GBK"/>
          <w:kern w:val="0"/>
          <w:sz w:val="44"/>
          <w:szCs w:val="44"/>
          <w:lang w:val="en-US" w:eastAsia="zh-CN"/>
        </w:rPr>
        <w:t>雅满苏镇</w:t>
      </w:r>
      <w:r>
        <w:rPr>
          <w:rFonts w:hint="eastAsia" w:ascii="方正小标宋_GBK" w:hAnsi="宋体" w:eastAsia="方正小标宋_GBK" w:cs="方正小标宋_GBK"/>
          <w:kern w:val="0"/>
          <w:sz w:val="44"/>
          <w:szCs w:val="44"/>
        </w:rPr>
        <w:t>人民政府</w:t>
      </w:r>
      <w:r>
        <w:rPr>
          <w:rFonts w:hint="eastAsia" w:ascii="方正小标宋_GBK" w:hAnsi="宋体" w:eastAsia="方正小标宋_GBK"/>
          <w:kern w:val="0"/>
          <w:sz w:val="44"/>
          <w:szCs w:val="44"/>
        </w:rPr>
        <w:t>2024年部门调整预算公开</w:t>
      </w:r>
      <w:bookmarkEnd w:id="0"/>
      <w:r>
        <w:rPr>
          <w:rFonts w:hint="eastAsia" w:ascii="方正小标宋_GBK" w:hAnsi="宋体" w:eastAsia="方正小标宋_GBK"/>
          <w:kern w:val="0"/>
          <w:sz w:val="44"/>
          <w:szCs w:val="44"/>
        </w:rPr>
        <w:t>的说明</w:t>
      </w:r>
    </w:p>
    <w:p>
      <w:pPr>
        <w:numPr>
          <w:ilvl w:val="0"/>
          <w:numId w:val="1"/>
        </w:numPr>
        <w:spacing w:line="560" w:lineRule="exact"/>
        <w:ind w:firstLine="663" w:firstLineChars="200"/>
        <w:rPr>
          <w:rFonts w:ascii="仿宋_GB2312" w:hAnsi="仿宋_GB2312" w:eastAsia="仿宋_GB2312" w:cs="仿宋_GB2312"/>
          <w:b/>
          <w:bCs/>
          <w:spacing w:val="5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pacing w:val="5"/>
          <w:sz w:val="32"/>
          <w:szCs w:val="32"/>
        </w:rPr>
        <w:t>预算调整情况</w:t>
      </w:r>
    </w:p>
    <w:p>
      <w:pPr>
        <w:spacing w:line="560" w:lineRule="exact"/>
        <w:ind w:firstLine="660" w:firstLineChars="200"/>
        <w:rPr>
          <w:rFonts w:ascii="仿宋_GB2312" w:hAnsi="仿宋_GB2312" w:eastAsia="仿宋_GB2312" w:cs="仿宋_GB2312"/>
          <w:spacing w:val="18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5"/>
          <w:sz w:val="32"/>
          <w:szCs w:val="32"/>
        </w:rPr>
        <w:t>根据《中华人民共和国预算</w:t>
      </w:r>
      <w:r>
        <w:rPr>
          <w:rFonts w:hint="eastAsia" w:ascii="仿宋_GB2312" w:hAnsi="仿宋_GB2312" w:eastAsia="仿宋_GB2312" w:cs="仿宋_GB2312"/>
          <w:spacing w:val="-3"/>
          <w:sz w:val="32"/>
          <w:szCs w:val="32"/>
        </w:rPr>
        <w:t>法》、《预算法实施条例》，经伊州区二届人大常委会第二十二次会议批准，2024</w:t>
      </w:r>
      <w:r>
        <w:rPr>
          <w:rFonts w:hint="eastAsia" w:ascii="仿宋_GB2312" w:hAnsi="仿宋_GB2312" w:eastAsia="仿宋_GB2312" w:cs="仿宋_GB2312"/>
          <w:spacing w:val="18"/>
          <w:sz w:val="32"/>
          <w:szCs w:val="32"/>
        </w:rPr>
        <w:t>年我单位</w:t>
      </w:r>
      <w:r>
        <w:rPr>
          <w:rFonts w:hint="eastAsia" w:ascii="仿宋_GB2312" w:hAnsi="仿宋_GB2312" w:eastAsia="仿宋_GB2312" w:cs="仿宋_GB2312"/>
          <w:spacing w:val="-3"/>
          <w:sz w:val="32"/>
          <w:szCs w:val="32"/>
        </w:rPr>
        <w:t>项目支出由年初0元调整为2.16万元。</w:t>
      </w:r>
    </w:p>
    <w:p>
      <w:pPr>
        <w:numPr>
          <w:ilvl w:val="0"/>
          <w:numId w:val="1"/>
        </w:numPr>
        <w:spacing w:line="560" w:lineRule="exact"/>
        <w:ind w:firstLine="715" w:firstLineChars="200"/>
        <w:rPr>
          <w:rFonts w:ascii="仿宋_GB2312" w:hAnsi="仿宋_GB2312" w:eastAsia="仿宋_GB2312" w:cs="仿宋_GB2312"/>
          <w:b/>
          <w:bCs/>
          <w:spacing w:val="18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pacing w:val="18"/>
          <w:sz w:val="32"/>
          <w:szCs w:val="32"/>
        </w:rPr>
        <w:t>绩效目标调整情况</w:t>
      </w:r>
    </w:p>
    <w:p>
      <w:pPr>
        <w:spacing w:line="560" w:lineRule="exact"/>
        <w:ind w:left="420" w:leftChars="200" w:firstLine="356" w:firstLineChars="100"/>
        <w:rPr>
          <w:rFonts w:ascii="仿宋_GB2312" w:hAnsi="仿宋_GB2312" w:eastAsia="仿宋_GB2312" w:cs="仿宋_GB2312"/>
          <w:spacing w:val="18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18"/>
          <w:sz w:val="32"/>
          <w:szCs w:val="32"/>
        </w:rPr>
        <w:t>因项目金额发生变化，原项目绩效目标同步调整。</w:t>
      </w:r>
    </w:p>
    <w:p>
      <w:pPr>
        <w:spacing w:line="560" w:lineRule="exact"/>
        <w:rPr>
          <w:rFonts w:ascii="仿宋_GB2312" w:hAnsi="仿宋_GB2312" w:eastAsia="仿宋_GB2312" w:cs="仿宋_GB2312"/>
          <w:spacing w:val="18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18"/>
          <w:sz w:val="32"/>
          <w:szCs w:val="32"/>
        </w:rPr>
        <w:t>具体情况详见附件。</w:t>
      </w:r>
    </w:p>
    <w:p>
      <w:pPr>
        <w:spacing w:line="560" w:lineRule="exact"/>
        <w:ind w:firstLine="712" w:firstLineChars="200"/>
        <w:rPr>
          <w:rFonts w:hint="eastAsia" w:ascii="仿宋_GB2312" w:hAnsi="仿宋_GB2312" w:eastAsia="仿宋_GB2312" w:cs="仿宋_GB2312"/>
          <w:spacing w:val="18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pacing w:val="18"/>
          <w:sz w:val="32"/>
          <w:szCs w:val="32"/>
        </w:rPr>
        <w:t>附件一：伊州区哈密市伊州</w:t>
      </w:r>
      <w: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  <w:t>雅满苏镇</w:t>
      </w:r>
      <w:r>
        <w:rPr>
          <w:rFonts w:hint="eastAsia" w:ascii="仿宋_GB2312" w:hAnsi="仿宋_GB2312" w:eastAsia="仿宋_GB2312" w:cs="仿宋_GB2312"/>
          <w:spacing w:val="18"/>
          <w:sz w:val="32"/>
          <w:szCs w:val="32"/>
        </w:rPr>
        <w:t>人民政府项目支出表</w:t>
      </w:r>
      <w:r>
        <w:rPr>
          <w:rFonts w:hint="eastAsia" w:ascii="仿宋_GB2312" w:hAnsi="仿宋_GB2312" w:eastAsia="仿宋_GB2312" w:cs="仿宋_GB2312"/>
          <w:spacing w:val="18"/>
          <w:sz w:val="32"/>
          <w:szCs w:val="32"/>
          <w:lang w:eastAsia="zh-CN"/>
        </w:rPr>
        <w:t>；</w:t>
      </w:r>
    </w:p>
    <w:p>
      <w:pPr>
        <w:spacing w:line="560" w:lineRule="exact"/>
        <w:ind w:firstLine="712" w:firstLineChars="200"/>
        <w:rPr>
          <w:rFonts w:hint="eastAsia" w:ascii="仿宋_GB2312" w:hAnsi="仿宋_GB2312" w:eastAsia="仿宋_GB2312" w:cs="仿宋_GB2312"/>
          <w:spacing w:val="18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pacing w:val="18"/>
          <w:sz w:val="32"/>
          <w:szCs w:val="32"/>
        </w:rPr>
        <w:t>附件二：项目绩效目标调整情况表（与原项目绩效目标表表样相同）</w:t>
      </w:r>
      <w:r>
        <w:rPr>
          <w:rFonts w:hint="eastAsia" w:ascii="仿宋_GB2312" w:hAnsi="仿宋_GB2312" w:eastAsia="仿宋_GB2312" w:cs="仿宋_GB2312"/>
          <w:spacing w:val="18"/>
          <w:sz w:val="32"/>
          <w:szCs w:val="32"/>
          <w:lang w:eastAsia="zh-CN"/>
        </w:rPr>
        <w:t>。</w:t>
      </w:r>
    </w:p>
    <w:p>
      <w:pPr>
        <w:rPr>
          <w:rFonts w:ascii="仿宋_GB2312" w:hAnsi="仿宋_GB2312" w:eastAsia="仿宋_GB2312" w:cs="仿宋_GB2312"/>
          <w:spacing w:val="18"/>
          <w:sz w:val="32"/>
          <w:szCs w:val="32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hint="eastAsia" w:ascii="仿宋_GB2312" w:hAnsi="仿宋_GB2312" w:eastAsia="仿宋_GB2312" w:cs="仿宋_GB2312"/>
          <w:spacing w:val="18"/>
          <w:sz w:val="32"/>
          <w:szCs w:val="32"/>
        </w:rPr>
        <w:br w:type="page"/>
      </w:r>
    </w:p>
    <w:p>
      <w:pPr>
        <w:spacing w:line="560" w:lineRule="exact"/>
        <w:rPr>
          <w:rFonts w:ascii="仿宋_GB2312" w:hAnsi="仿宋_GB2312" w:eastAsia="仿宋_GB2312" w:cs="仿宋_GB2312"/>
          <w:spacing w:val="18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18"/>
          <w:sz w:val="32"/>
          <w:szCs w:val="32"/>
        </w:rPr>
        <w:t>附件一</w:t>
      </w:r>
    </w:p>
    <w:tbl>
      <w:tblPr>
        <w:tblStyle w:val="3"/>
        <w:tblW w:w="15129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1"/>
        <w:gridCol w:w="931"/>
        <w:gridCol w:w="709"/>
        <w:gridCol w:w="1417"/>
        <w:gridCol w:w="934"/>
        <w:gridCol w:w="931"/>
        <w:gridCol w:w="931"/>
        <w:gridCol w:w="931"/>
        <w:gridCol w:w="931"/>
        <w:gridCol w:w="931"/>
        <w:gridCol w:w="932"/>
        <w:gridCol w:w="932"/>
        <w:gridCol w:w="36"/>
        <w:gridCol w:w="730"/>
        <w:gridCol w:w="730"/>
        <w:gridCol w:w="730"/>
        <w:gridCol w:w="731"/>
        <w:gridCol w:w="731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  <w:jc w:val="center"/>
        </w:trPr>
        <w:tc>
          <w:tcPr>
            <w:tcW w:w="11441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</w:rPr>
              <w:t>编制部门:</w:t>
            </w:r>
            <w:r>
              <w:rPr>
                <w:rFonts w:hint="eastAsia" w:ascii="仿宋_GB2312" w:hAnsi="仿宋_GB2312" w:eastAsia="仿宋_GB2312" w:cs="仿宋_GB2312"/>
                <w:spacing w:val="18"/>
                <w:sz w:val="32"/>
                <w:szCs w:val="32"/>
              </w:rPr>
              <w:t>哈密市伊州区</w:t>
            </w:r>
            <w:r>
              <w:rPr>
                <w:rFonts w:hint="eastAsia" w:ascii="仿宋_GB2312" w:hAnsi="仿宋_GB2312" w:eastAsia="仿宋_GB2312" w:cs="仿宋_GB2312"/>
                <w:spacing w:val="18"/>
                <w:sz w:val="32"/>
                <w:szCs w:val="32"/>
                <w:lang w:val="en-US" w:eastAsia="zh-CN"/>
              </w:rPr>
              <w:t>雅满苏镇</w:t>
            </w:r>
            <w:r>
              <w:rPr>
                <w:rFonts w:hint="eastAsia" w:ascii="仿宋_GB2312" w:hAnsi="仿宋_GB2312" w:eastAsia="仿宋_GB2312" w:cs="仿宋_GB2312"/>
                <w:spacing w:val="18"/>
                <w:sz w:val="32"/>
                <w:szCs w:val="32"/>
              </w:rPr>
              <w:t>人民政府</w:t>
            </w:r>
          </w:p>
        </w:tc>
        <w:tc>
          <w:tcPr>
            <w:tcW w:w="3688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right"/>
              <w:textAlignment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</w:rPr>
              <w:t>单位:万元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2" w:hRule="atLeast"/>
          <w:jc w:val="center"/>
        </w:trPr>
        <w:tc>
          <w:tcPr>
            <w:tcW w:w="2571" w:type="dxa"/>
            <w:gridSpan w:val="3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20"/>
                <w:szCs w:val="20"/>
              </w:rPr>
              <w:t>科 目 编 码</w:t>
            </w:r>
          </w:p>
        </w:tc>
        <w:tc>
          <w:tcPr>
            <w:tcW w:w="1417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20"/>
                <w:szCs w:val="20"/>
              </w:rPr>
              <w:t>科目</w:t>
            </w:r>
          </w:p>
        </w:tc>
        <w:tc>
          <w:tcPr>
            <w:tcW w:w="934" w:type="dxa"/>
            <w:vMerge w:val="restart"/>
            <w:vAlign w:val="center"/>
          </w:tcPr>
          <w:p>
            <w:pPr>
              <w:widowControl/>
              <w:jc w:val="center"/>
              <w:textAlignment w:val="center"/>
              <w:rPr>
                <w:rFonts w:ascii="Calibri" w:hAnsi="Calibri" w:eastAsia="宋体" w:cs="Times New Roman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20"/>
                <w:szCs w:val="20"/>
              </w:rPr>
              <w:t>项目名称</w:t>
            </w:r>
          </w:p>
        </w:tc>
        <w:tc>
          <w:tcPr>
            <w:tcW w:w="931" w:type="dxa"/>
            <w:vMerge w:val="restart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20"/>
                <w:szCs w:val="20"/>
              </w:rPr>
              <w:t>年初项目支出合计</w:t>
            </w:r>
          </w:p>
        </w:tc>
        <w:tc>
          <w:tcPr>
            <w:tcW w:w="931" w:type="dxa"/>
            <w:vMerge w:val="restart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20"/>
                <w:szCs w:val="20"/>
              </w:rPr>
              <w:t>调整后项目支出合计</w:t>
            </w:r>
          </w:p>
        </w:tc>
        <w:tc>
          <w:tcPr>
            <w:tcW w:w="931" w:type="dxa"/>
            <w:vMerge w:val="restart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20"/>
                <w:szCs w:val="20"/>
              </w:rPr>
              <w:t>工资福利支出</w:t>
            </w:r>
          </w:p>
        </w:tc>
        <w:tc>
          <w:tcPr>
            <w:tcW w:w="931" w:type="dxa"/>
            <w:vMerge w:val="restar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20"/>
                <w:szCs w:val="20"/>
              </w:rPr>
              <w:t>商品和服务支出</w:t>
            </w:r>
          </w:p>
        </w:tc>
        <w:tc>
          <w:tcPr>
            <w:tcW w:w="931" w:type="dxa"/>
            <w:vMerge w:val="restart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20"/>
                <w:szCs w:val="20"/>
              </w:rPr>
              <w:t>对个人和家庭的补助</w:t>
            </w:r>
          </w:p>
        </w:tc>
        <w:tc>
          <w:tcPr>
            <w:tcW w:w="932" w:type="dxa"/>
            <w:vMerge w:val="restart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20"/>
                <w:szCs w:val="20"/>
              </w:rPr>
              <w:t>债务利息及费用支出</w:t>
            </w:r>
          </w:p>
        </w:tc>
        <w:tc>
          <w:tcPr>
            <w:tcW w:w="968" w:type="dxa"/>
            <w:gridSpan w:val="2"/>
            <w:vMerge w:val="restart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20"/>
                <w:szCs w:val="20"/>
              </w:rPr>
              <w:t>资本性支出（基本建设）</w:t>
            </w:r>
          </w:p>
        </w:tc>
        <w:tc>
          <w:tcPr>
            <w:tcW w:w="730" w:type="dxa"/>
            <w:vMerge w:val="restart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20"/>
                <w:szCs w:val="20"/>
              </w:rPr>
              <w:t>资本性支出</w:t>
            </w:r>
          </w:p>
        </w:tc>
        <w:tc>
          <w:tcPr>
            <w:tcW w:w="730" w:type="dxa"/>
            <w:vMerge w:val="restart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20"/>
                <w:szCs w:val="20"/>
              </w:rPr>
              <w:t>对企业补助（基本建设）</w:t>
            </w:r>
          </w:p>
        </w:tc>
        <w:tc>
          <w:tcPr>
            <w:tcW w:w="730" w:type="dxa"/>
            <w:vMerge w:val="restart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20"/>
                <w:szCs w:val="20"/>
              </w:rPr>
              <w:t>对企业补助</w:t>
            </w:r>
          </w:p>
        </w:tc>
        <w:tc>
          <w:tcPr>
            <w:tcW w:w="731" w:type="dxa"/>
            <w:vMerge w:val="restart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20"/>
                <w:szCs w:val="20"/>
              </w:rPr>
              <w:t>对社会保障基金补助</w:t>
            </w:r>
          </w:p>
        </w:tc>
        <w:tc>
          <w:tcPr>
            <w:tcW w:w="731" w:type="dxa"/>
            <w:vMerge w:val="restart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20"/>
                <w:szCs w:val="20"/>
              </w:rPr>
              <w:t>其他支出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4" w:hRule="atLeast"/>
          <w:jc w:val="center"/>
        </w:trPr>
        <w:tc>
          <w:tcPr>
            <w:tcW w:w="931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20"/>
                <w:szCs w:val="20"/>
              </w:rPr>
              <w:t>类</w:t>
            </w:r>
          </w:p>
        </w:tc>
        <w:tc>
          <w:tcPr>
            <w:tcW w:w="931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20"/>
                <w:szCs w:val="20"/>
              </w:rPr>
              <w:t>款</w:t>
            </w:r>
          </w:p>
        </w:tc>
        <w:tc>
          <w:tcPr>
            <w:tcW w:w="709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20"/>
                <w:szCs w:val="20"/>
              </w:rPr>
              <w:t>项</w:t>
            </w:r>
          </w:p>
        </w:tc>
        <w:tc>
          <w:tcPr>
            <w:tcW w:w="1417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20"/>
                <w:szCs w:val="20"/>
              </w:rPr>
              <w:t>名称</w:t>
            </w:r>
          </w:p>
        </w:tc>
        <w:tc>
          <w:tcPr>
            <w:tcW w:w="934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931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  <w:tc>
          <w:tcPr>
            <w:tcW w:w="931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  <w:tc>
          <w:tcPr>
            <w:tcW w:w="931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  <w:tc>
          <w:tcPr>
            <w:tcW w:w="931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931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  <w:tc>
          <w:tcPr>
            <w:tcW w:w="932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  <w:tc>
          <w:tcPr>
            <w:tcW w:w="968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  <w:tc>
          <w:tcPr>
            <w:tcW w:w="730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  <w:tc>
          <w:tcPr>
            <w:tcW w:w="730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  <w:tc>
          <w:tcPr>
            <w:tcW w:w="730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  <w:tc>
          <w:tcPr>
            <w:tcW w:w="731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  <w:tc>
          <w:tcPr>
            <w:tcW w:w="731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931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eastAsia="仿宋_GB2312"/>
                <w:b/>
                <w:bCs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20"/>
                <w:szCs w:val="20"/>
              </w:rPr>
              <w:t>※</w:t>
            </w:r>
          </w:p>
        </w:tc>
        <w:tc>
          <w:tcPr>
            <w:tcW w:w="931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eastAsia="仿宋_GB2312"/>
                <w:b/>
                <w:bCs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20"/>
                <w:szCs w:val="20"/>
              </w:rPr>
              <w:t>※</w:t>
            </w:r>
          </w:p>
        </w:tc>
        <w:tc>
          <w:tcPr>
            <w:tcW w:w="709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eastAsia="仿宋_GB2312"/>
                <w:b/>
                <w:bCs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20"/>
                <w:szCs w:val="20"/>
              </w:rPr>
              <w:t>※</w:t>
            </w:r>
          </w:p>
        </w:tc>
        <w:tc>
          <w:tcPr>
            <w:tcW w:w="1417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eastAsia="仿宋_GB2312"/>
                <w:b/>
                <w:bCs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20"/>
                <w:szCs w:val="20"/>
              </w:rPr>
              <w:t>※</w:t>
            </w:r>
          </w:p>
        </w:tc>
        <w:tc>
          <w:tcPr>
            <w:tcW w:w="934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20"/>
                <w:szCs w:val="20"/>
              </w:rPr>
              <w:t>※</w:t>
            </w:r>
          </w:p>
        </w:tc>
        <w:tc>
          <w:tcPr>
            <w:tcW w:w="931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eastAsia="仿宋_GB2312"/>
                <w:b/>
                <w:bCs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931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eastAsia="仿宋_GB2312"/>
                <w:b/>
                <w:bCs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931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eastAsia="仿宋_GB2312"/>
                <w:b/>
                <w:bCs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931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931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eastAsia="仿宋_GB2312"/>
                <w:b/>
                <w:bCs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93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eastAsia="仿宋_GB2312"/>
                <w:b/>
                <w:bCs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20"/>
                <w:szCs w:val="20"/>
              </w:rPr>
              <w:t>6</w:t>
            </w:r>
          </w:p>
        </w:tc>
        <w:tc>
          <w:tcPr>
            <w:tcW w:w="968" w:type="dxa"/>
            <w:gridSpan w:val="2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eastAsia="仿宋_GB2312"/>
                <w:b/>
                <w:bCs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20"/>
                <w:szCs w:val="20"/>
              </w:rPr>
              <w:t>7</w:t>
            </w:r>
          </w:p>
        </w:tc>
        <w:tc>
          <w:tcPr>
            <w:tcW w:w="73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eastAsia="仿宋_GB2312"/>
                <w:b/>
                <w:bCs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20"/>
                <w:szCs w:val="20"/>
              </w:rPr>
              <w:t>9</w:t>
            </w:r>
          </w:p>
        </w:tc>
        <w:tc>
          <w:tcPr>
            <w:tcW w:w="73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eastAsia="仿宋_GB2312"/>
                <w:b/>
                <w:bCs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3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eastAsia="仿宋_GB2312"/>
                <w:b/>
                <w:bCs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20"/>
                <w:szCs w:val="20"/>
              </w:rPr>
              <w:t>11</w:t>
            </w:r>
          </w:p>
        </w:tc>
        <w:tc>
          <w:tcPr>
            <w:tcW w:w="731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eastAsia="仿宋_GB2312"/>
                <w:b/>
                <w:bCs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20"/>
                <w:szCs w:val="20"/>
              </w:rPr>
              <w:t>12</w:t>
            </w:r>
          </w:p>
        </w:tc>
        <w:tc>
          <w:tcPr>
            <w:tcW w:w="731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eastAsia="仿宋_GB2312"/>
                <w:b/>
                <w:bCs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20"/>
                <w:szCs w:val="20"/>
              </w:rPr>
              <w:t>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931" w:type="dxa"/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0"/>
                <w:szCs w:val="20"/>
              </w:rPr>
              <w:t>201</w:t>
            </w:r>
          </w:p>
        </w:tc>
        <w:tc>
          <w:tcPr>
            <w:tcW w:w="931" w:type="dxa"/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0"/>
                <w:szCs w:val="20"/>
              </w:rPr>
              <w:t>03</w:t>
            </w:r>
          </w:p>
        </w:tc>
        <w:tc>
          <w:tcPr>
            <w:tcW w:w="709" w:type="dxa"/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0"/>
                <w:szCs w:val="20"/>
              </w:rPr>
              <w:t>99</w:t>
            </w:r>
          </w:p>
        </w:tc>
        <w:tc>
          <w:tcPr>
            <w:tcW w:w="1417" w:type="dxa"/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eastAsia="仿宋_GB2312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0"/>
                <w:szCs w:val="20"/>
              </w:rPr>
              <w:t>其他政府办公厅（室）及相关机构事务</w:t>
            </w:r>
          </w:p>
        </w:tc>
        <w:tc>
          <w:tcPr>
            <w:tcW w:w="934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/>
              </w:rPr>
              <w:t>代理记账费</w:t>
            </w:r>
          </w:p>
        </w:tc>
        <w:tc>
          <w:tcPr>
            <w:tcW w:w="931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0</w:t>
            </w:r>
          </w:p>
        </w:tc>
        <w:tc>
          <w:tcPr>
            <w:tcW w:w="931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2.16</w:t>
            </w:r>
          </w:p>
        </w:tc>
        <w:tc>
          <w:tcPr>
            <w:tcW w:w="931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2.16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2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68" w:type="dxa"/>
            <w:gridSpan w:val="2"/>
            <w:vAlign w:val="center"/>
          </w:tcPr>
          <w:p>
            <w:pPr>
              <w:jc w:val="right"/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9" w:hRule="atLeast"/>
          <w:jc w:val="center"/>
        </w:trPr>
        <w:tc>
          <w:tcPr>
            <w:tcW w:w="931" w:type="dxa"/>
            <w:vAlign w:val="center"/>
          </w:tcPr>
          <w:p>
            <w:pPr>
              <w:jc w:val="lef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lef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>
            <w:pPr>
              <w:jc w:val="lef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eastAsia="仿宋_GB2312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0"/>
                <w:szCs w:val="20"/>
              </w:rPr>
              <w:t>合计</w:t>
            </w:r>
          </w:p>
        </w:tc>
        <w:tc>
          <w:tcPr>
            <w:tcW w:w="934" w:type="dxa"/>
            <w:vAlign w:val="center"/>
          </w:tcPr>
          <w:p>
            <w:pPr>
              <w:jc w:val="left"/>
            </w:pPr>
          </w:p>
        </w:tc>
        <w:tc>
          <w:tcPr>
            <w:tcW w:w="931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0</w:t>
            </w:r>
          </w:p>
        </w:tc>
        <w:tc>
          <w:tcPr>
            <w:tcW w:w="931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2.16</w:t>
            </w:r>
          </w:p>
        </w:tc>
        <w:tc>
          <w:tcPr>
            <w:tcW w:w="931" w:type="dxa"/>
            <w:vAlign w:val="center"/>
          </w:tcPr>
          <w:p>
            <w:pPr>
              <w:jc w:val="center"/>
            </w:pPr>
          </w:p>
        </w:tc>
        <w:tc>
          <w:tcPr>
            <w:tcW w:w="931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2.16</w:t>
            </w:r>
          </w:p>
        </w:tc>
        <w:tc>
          <w:tcPr>
            <w:tcW w:w="931" w:type="dxa"/>
            <w:vAlign w:val="center"/>
          </w:tcPr>
          <w:p>
            <w:pPr>
              <w:jc w:val="center"/>
            </w:pPr>
          </w:p>
        </w:tc>
        <w:tc>
          <w:tcPr>
            <w:tcW w:w="932" w:type="dxa"/>
            <w:vAlign w:val="center"/>
          </w:tcPr>
          <w:p>
            <w:pPr>
              <w:jc w:val="center"/>
            </w:pPr>
          </w:p>
        </w:tc>
        <w:tc>
          <w:tcPr>
            <w:tcW w:w="968" w:type="dxa"/>
            <w:gridSpan w:val="2"/>
            <w:vAlign w:val="center"/>
          </w:tcPr>
          <w:p>
            <w:pPr>
              <w:jc w:val="center"/>
            </w:pPr>
          </w:p>
        </w:tc>
        <w:tc>
          <w:tcPr>
            <w:tcW w:w="730" w:type="dxa"/>
            <w:vAlign w:val="center"/>
          </w:tcPr>
          <w:p>
            <w:pPr>
              <w:jc w:val="center"/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</w:tr>
    </w:tbl>
    <w:p>
      <w:pPr>
        <w:rPr>
          <w:rFonts w:ascii="仿宋_GB2312" w:hAnsi="仿宋_GB2312" w:eastAsia="仿宋_GB2312" w:cs="仿宋_GB2312"/>
          <w:spacing w:val="18"/>
          <w:sz w:val="32"/>
          <w:szCs w:val="32"/>
        </w:rPr>
        <w:sectPr>
          <w:pgSz w:w="16838" w:h="11906" w:orient="landscape"/>
          <w:pgMar w:top="720" w:right="720" w:bottom="720" w:left="720" w:header="851" w:footer="992" w:gutter="0"/>
          <w:cols w:space="425" w:num="1"/>
          <w:docGrid w:type="lines" w:linePitch="312" w:charSpace="0"/>
        </w:sectPr>
      </w:pPr>
    </w:p>
    <w:p>
      <w:pPr>
        <w:rPr>
          <w:rFonts w:ascii="仿宋_GB2312" w:hAnsi="仿宋_GB2312" w:eastAsia="仿宋_GB2312" w:cs="仿宋_GB2312"/>
          <w:spacing w:val="18"/>
          <w:sz w:val="32"/>
          <w:szCs w:val="32"/>
        </w:rPr>
      </w:pPr>
    </w:p>
    <w:p>
      <w:pPr>
        <w:spacing w:line="560" w:lineRule="exact"/>
        <w:rPr>
          <w:rFonts w:ascii="仿宋_GB2312" w:hAnsi="仿宋_GB2312" w:eastAsia="仿宋_GB2312" w:cs="仿宋_GB2312"/>
          <w:spacing w:val="18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18"/>
          <w:sz w:val="32"/>
          <w:szCs w:val="32"/>
        </w:rPr>
        <w:t>附件二</w:t>
      </w:r>
    </w:p>
    <w:tbl>
      <w:tblPr>
        <w:tblStyle w:val="3"/>
        <w:tblW w:w="8922" w:type="dxa"/>
        <w:jc w:val="center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01"/>
        <w:gridCol w:w="1328"/>
        <w:gridCol w:w="966"/>
        <w:gridCol w:w="795"/>
        <w:gridCol w:w="996"/>
        <w:gridCol w:w="786"/>
        <w:gridCol w:w="1123"/>
        <w:gridCol w:w="1000"/>
        <w:gridCol w:w="1027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8" w:hRule="atLeast"/>
          <w:jc w:val="center"/>
        </w:trPr>
        <w:tc>
          <w:tcPr>
            <w:tcW w:w="892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32"/>
                <w:szCs w:val="32"/>
              </w:rPr>
              <w:t>项  目  支  出  绩  效  目  标  表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892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(2024年)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18"/>
                <w:szCs w:val="18"/>
              </w:rPr>
              <w:t>预算单位</w:t>
            </w:r>
          </w:p>
        </w:tc>
        <w:tc>
          <w:tcPr>
            <w:tcW w:w="6693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18"/>
                <w:szCs w:val="18"/>
              </w:rPr>
              <w:t>哈密市伊州区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18"/>
                <w:szCs w:val="18"/>
                <w:lang w:val="en-US" w:eastAsia="zh-CN"/>
              </w:rPr>
              <w:t>雅满苏镇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18"/>
                <w:szCs w:val="18"/>
              </w:rPr>
              <w:t>人民政府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275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333333"/>
                <w:szCs w:val="21"/>
                <w:shd w:val="clear" w:color="auto" w:fill="FFFFFF"/>
              </w:rPr>
              <w:t>代理记账费</w:t>
            </w:r>
          </w:p>
        </w:tc>
        <w:tc>
          <w:tcPr>
            <w:tcW w:w="190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18"/>
                <w:szCs w:val="18"/>
              </w:rPr>
              <w:t>项目负责人</w:t>
            </w:r>
          </w:p>
        </w:tc>
        <w:tc>
          <w:tcPr>
            <w:tcW w:w="20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艾合买提·卡德尔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18"/>
                <w:szCs w:val="18"/>
              </w:rPr>
              <w:t>项目资金（万元）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年度预算总额：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2.16</w:t>
            </w:r>
          </w:p>
        </w:tc>
        <w:tc>
          <w:tcPr>
            <w:tcW w:w="99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其中：财政拨款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2.16</w:t>
            </w:r>
          </w:p>
        </w:tc>
        <w:tc>
          <w:tcPr>
            <w:tcW w:w="11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其他资金：</w:t>
            </w:r>
          </w:p>
        </w:tc>
        <w:tc>
          <w:tcPr>
            <w:tcW w:w="20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0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0" w:hRule="atLeast"/>
          <w:jc w:val="center"/>
        </w:trPr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18"/>
                <w:szCs w:val="18"/>
              </w:rPr>
              <w:t>项目总体目标</w:t>
            </w:r>
          </w:p>
        </w:tc>
        <w:tc>
          <w:tcPr>
            <w:tcW w:w="6693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</w:tcPr>
          <w:p>
            <w:pPr>
              <w:jc w:val="left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333333"/>
                <w:sz w:val="18"/>
                <w:szCs w:val="18"/>
                <w:shd w:val="clear" w:color="auto" w:fill="FFFFFF"/>
              </w:rPr>
              <w:t>该项目计划投入2.16万元，支付2023年全年代理记账费用，顺利完成雅满苏镇账目登记，保障机关工作顺利进行。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18"/>
                <w:szCs w:val="18"/>
              </w:rPr>
              <w:t>指标值设置依据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18"/>
                <w:szCs w:val="18"/>
              </w:rPr>
              <w:t>上年完成值</w:t>
            </w:r>
          </w:p>
        </w:tc>
        <w:tc>
          <w:tcPr>
            <w:tcW w:w="1123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18"/>
                <w:szCs w:val="18"/>
              </w:rPr>
              <w:t>指标分值权重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18"/>
                <w:szCs w:val="18"/>
              </w:rPr>
              <w:t>指标赋分规则</w:t>
            </w:r>
          </w:p>
        </w:tc>
        <w:tc>
          <w:tcPr>
            <w:tcW w:w="1027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18"/>
                <w:szCs w:val="18"/>
              </w:rPr>
              <w:t>佐证资料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产出指标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数量指标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购买代理记账业务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&gt;=1个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11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1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工作资料,说明材料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1328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质量指标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账目登记合格率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&gt;=95%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11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1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工作资料,说明材料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1328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购买代理记账资金使用合规率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=100%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11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1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工作资料,说明材料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1328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时效指标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购买代理记账费用支付及时率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=100%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11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1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工作资料,说明材料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1328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账目登记及时率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&gt;=95%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11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1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说明材料,工作资料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经济成本指标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记账费用总额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&lt;=2.16万元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预算支出标准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11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1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原始凭证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保证机关工作顺利完成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保证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11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按评判等级赋分</w:t>
            </w:r>
          </w:p>
        </w:tc>
        <w:tc>
          <w:tcPr>
            <w:tcW w:w="1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工作资料,说明材料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职工满意度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&gt;=98%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11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满意度赋分</w:t>
            </w:r>
          </w:p>
        </w:tc>
        <w:tc>
          <w:tcPr>
            <w:tcW w:w="1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</w:t>
            </w:r>
          </w:p>
        </w:tc>
      </w:tr>
    </w:tbl>
    <w:p>
      <w:pPr>
        <w:rPr>
          <w:rFonts w:ascii="仿宋_GB2312" w:hAnsi="仿宋_GB2312" w:eastAsia="仿宋_GB2312" w:cs="仿宋_GB2312"/>
          <w:spacing w:val="18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82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7AE5875"/>
    <w:multiLevelType w:val="singleLevel"/>
    <w:tmpl w:val="B7AE5875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NiMWExYjE1MGM0YWY0ZTY2NjllMGM3OTFiZjMwMWEifQ=="/>
  </w:docVars>
  <w:rsids>
    <w:rsidRoot w:val="0058428E"/>
    <w:rsid w:val="00030E60"/>
    <w:rsid w:val="0034695B"/>
    <w:rsid w:val="00567740"/>
    <w:rsid w:val="0058428E"/>
    <w:rsid w:val="008D53DF"/>
    <w:rsid w:val="0097632E"/>
    <w:rsid w:val="00B500CA"/>
    <w:rsid w:val="00D822AD"/>
    <w:rsid w:val="02055842"/>
    <w:rsid w:val="05274B53"/>
    <w:rsid w:val="0A8A3F4F"/>
    <w:rsid w:val="0D7F0470"/>
    <w:rsid w:val="10573940"/>
    <w:rsid w:val="11671099"/>
    <w:rsid w:val="19E23867"/>
    <w:rsid w:val="1E8C3A51"/>
    <w:rsid w:val="1F044B40"/>
    <w:rsid w:val="1F945345"/>
    <w:rsid w:val="22AA5687"/>
    <w:rsid w:val="22E65A86"/>
    <w:rsid w:val="24C538F5"/>
    <w:rsid w:val="2D3B109D"/>
    <w:rsid w:val="357B4D9D"/>
    <w:rsid w:val="3F2A1D89"/>
    <w:rsid w:val="43EB39D1"/>
    <w:rsid w:val="44B94F88"/>
    <w:rsid w:val="45C85C89"/>
    <w:rsid w:val="4BEA00EF"/>
    <w:rsid w:val="623E1014"/>
    <w:rsid w:val="62F023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character" w:customStyle="1" w:styleId="5">
    <w:name w:val="font11"/>
    <w:basedOn w:val="4"/>
    <w:qFormat/>
    <w:uiPriority w:val="0"/>
    <w:rPr>
      <w:rFonts w:hint="eastAsia" w:ascii="仿宋_GB2312" w:eastAsia="仿宋_GB2312" w:cs="仿宋_GB2312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852</Words>
  <Characters>927</Characters>
  <Lines>7</Lines>
  <Paragraphs>2</Paragraphs>
  <TotalTime>5</TotalTime>
  <ScaleCrop>false</ScaleCrop>
  <LinksUpToDate>false</LinksUpToDate>
  <CharactersWithSpaces>948</CharactersWithSpaces>
  <Application>WPS Office_11.8.2.8621_F1E327BC-269C-435d-A152-05C5408002CA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2024-06-05T07:37:00Z</dcterms:created>
  <dc:creator>YuSuan</dc:creator>
  <cp:lastModifiedBy>YuSuan</cp:lastModifiedBy>
  <dcterms:modified xsi:type="dcterms:W3CDTF">2024-07-12T03:08:41Z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2052-11.8.2.8621</vt:lpwstr>
  </property>
  <property fmtid="{D5CDD505-2E9C-101B-9397-08002B2CF9AE}" pid="3" name="ICV">
    <vt:lpwstr>E986C6B7E3C843ABA45098D97FB39169</vt:lpwstr>
  </property>
</Properties>
</file>