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rPr>
        <w:t>哈密市伊州区退役军人事务局</w:t>
      </w:r>
      <w:r>
        <w:rPr>
          <w:rFonts w:hint="eastAsia" w:ascii="方正小标宋_GBK" w:hAnsi="宋体" w:eastAsia="方正小标宋_GBK" w:cs="方正小标宋_GBK"/>
          <w:kern w:val="0"/>
          <w:sz w:val="44"/>
          <w:szCs w:val="44"/>
          <w:lang w:val="en-US" w:eastAsia="zh-CN"/>
        </w:rPr>
        <w:tab/>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color w:val="auto"/>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w:t>
      </w:r>
      <w:r>
        <w:rPr>
          <w:rFonts w:hint="eastAsia" w:ascii="仿宋_GB2312" w:hAnsi="仿宋_GB2312" w:eastAsia="仿宋_GB2312" w:cs="仿宋_GB2312"/>
          <w:color w:val="auto"/>
          <w:spacing w:val="18"/>
          <w:sz w:val="32"/>
          <w:szCs w:val="32"/>
          <w:highlight w:val="none"/>
          <w:lang w:val="en-US" w:eastAsia="zh-CN"/>
        </w:rPr>
        <w:t>项目支出由年初4797.05万元调整为4635.12万元</w:t>
      </w:r>
      <w:r>
        <w:rPr>
          <w:rFonts w:hint="eastAsia" w:ascii="仿宋_GB2312" w:hAnsi="仿宋_GB2312" w:eastAsia="仿宋_GB2312" w:cs="仿宋_GB2312"/>
          <w:color w:val="auto"/>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w:t>
      </w:r>
      <w:r>
        <w:rPr>
          <w:rFonts w:hint="eastAsia" w:ascii="仿宋_GB2312" w:hAnsi="仿宋_GB2312" w:eastAsia="仿宋_GB2312" w:cs="仿宋_GB2312"/>
          <w:color w:val="auto"/>
          <w:spacing w:val="18"/>
          <w:sz w:val="32"/>
          <w:szCs w:val="32"/>
          <w:lang w:val="en-US" w:eastAsia="zh-CN"/>
        </w:rPr>
        <w:t>退役军人事务局</w:t>
      </w:r>
      <w:r>
        <w:rPr>
          <w:rFonts w:hint="eastAsia" w:ascii="仿宋_GB2312" w:hAnsi="仿宋_GB2312" w:eastAsia="仿宋_GB2312" w:cs="仿宋_GB2312"/>
          <w:spacing w:val="18"/>
          <w:sz w:val="32"/>
          <w:szCs w:val="32"/>
          <w:lang w:val="en-US" w:eastAsia="zh-CN"/>
        </w:rPr>
        <w:t>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271" w:type="dxa"/>
        <w:jc w:val="center"/>
        <w:tblInd w:w="0" w:type="dxa"/>
        <w:tblLayout w:type="fixed"/>
        <w:tblCellMar>
          <w:top w:w="0" w:type="dxa"/>
          <w:left w:w="108" w:type="dxa"/>
          <w:bottom w:w="0" w:type="dxa"/>
          <w:right w:w="108" w:type="dxa"/>
        </w:tblCellMar>
      </w:tblPr>
      <w:tblGrid>
        <w:gridCol w:w="585"/>
        <w:gridCol w:w="750"/>
        <w:gridCol w:w="735"/>
        <w:gridCol w:w="1285"/>
        <w:gridCol w:w="1670"/>
        <w:gridCol w:w="1155"/>
        <w:gridCol w:w="1155"/>
        <w:gridCol w:w="750"/>
        <w:gridCol w:w="720"/>
        <w:gridCol w:w="1135"/>
        <w:gridCol w:w="711"/>
        <w:gridCol w:w="790"/>
        <w:gridCol w:w="404"/>
        <w:gridCol w:w="504"/>
        <w:gridCol w:w="730"/>
        <w:gridCol w:w="730"/>
        <w:gridCol w:w="731"/>
        <w:gridCol w:w="589"/>
        <w:gridCol w:w="142"/>
      </w:tblGrid>
      <w:tr>
        <w:tblPrEx>
          <w:tblLayout w:type="fixed"/>
          <w:tblCellMar>
            <w:top w:w="0" w:type="dxa"/>
            <w:left w:w="108" w:type="dxa"/>
            <w:bottom w:w="0" w:type="dxa"/>
            <w:right w:w="108" w:type="dxa"/>
          </w:tblCellMar>
        </w:tblPrEx>
        <w:trPr>
          <w:gridAfter w:val="1"/>
          <w:wAfter w:w="142" w:type="dxa"/>
          <w:trHeight w:val="476" w:hRule="atLeast"/>
          <w:jc w:val="center"/>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rPr>
                <w:rStyle w:val="5"/>
                <w:rFonts w:hint="eastAsia" w:hAnsi="宋体"/>
                <w:lang w:val="en-US" w:eastAsia="zh-CN" w:bidi="ar"/>
              </w:rPr>
              <w:t>伊州区退役军人事务局</w:t>
            </w:r>
          </w:p>
        </w:tc>
        <w:tc>
          <w:tcPr>
            <w:tcW w:w="3688" w:type="dxa"/>
            <w:gridSpan w:val="6"/>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070"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1285"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670"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1155"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年初项目支出合计</w:t>
            </w:r>
          </w:p>
        </w:tc>
        <w:tc>
          <w:tcPr>
            <w:tcW w:w="1155"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调整后项目支出合计</w:t>
            </w:r>
          </w:p>
        </w:tc>
        <w:tc>
          <w:tcPr>
            <w:tcW w:w="75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720"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1135"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71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1194"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504"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585"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750"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735"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1285"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670" w:type="dxa"/>
            <w:vMerge w:val="continue"/>
            <w:vAlign w:val="center"/>
          </w:tcPr>
          <w:p>
            <w:pPr>
              <w:jc w:val="center"/>
            </w:pPr>
          </w:p>
        </w:tc>
        <w:tc>
          <w:tcPr>
            <w:tcW w:w="1155" w:type="dxa"/>
            <w:vMerge w:val="continue"/>
            <w:vAlign w:val="center"/>
          </w:tcPr>
          <w:p>
            <w:pPr>
              <w:jc w:val="center"/>
              <w:rPr>
                <w:rFonts w:ascii="仿宋_GB2312" w:hAnsi="宋体" w:eastAsia="仿宋_GB2312"/>
                <w:b/>
                <w:kern w:val="0"/>
                <w:sz w:val="20"/>
                <w:szCs w:val="20"/>
              </w:rPr>
            </w:pPr>
          </w:p>
        </w:tc>
        <w:tc>
          <w:tcPr>
            <w:tcW w:w="1155" w:type="dxa"/>
            <w:vMerge w:val="continue"/>
            <w:vAlign w:val="center"/>
          </w:tcPr>
          <w:p>
            <w:pPr>
              <w:jc w:val="center"/>
              <w:rPr>
                <w:rFonts w:ascii="仿宋_GB2312" w:hAnsi="宋体" w:eastAsia="仿宋_GB2312"/>
                <w:b/>
                <w:kern w:val="0"/>
                <w:sz w:val="20"/>
                <w:szCs w:val="20"/>
              </w:rPr>
            </w:pPr>
          </w:p>
        </w:tc>
        <w:tc>
          <w:tcPr>
            <w:tcW w:w="750" w:type="dxa"/>
            <w:vMerge w:val="continue"/>
            <w:vAlign w:val="center"/>
          </w:tcPr>
          <w:p>
            <w:pPr>
              <w:jc w:val="center"/>
              <w:rPr>
                <w:rFonts w:ascii="仿宋_GB2312" w:hAnsi="宋体" w:eastAsia="仿宋_GB2312"/>
                <w:b/>
                <w:kern w:val="0"/>
                <w:sz w:val="20"/>
                <w:szCs w:val="20"/>
              </w:rPr>
            </w:pPr>
          </w:p>
        </w:tc>
        <w:tc>
          <w:tcPr>
            <w:tcW w:w="720" w:type="dxa"/>
            <w:vMerge w:val="continue"/>
            <w:vAlign w:val="center"/>
          </w:tcPr>
          <w:p>
            <w:pPr>
              <w:jc w:val="center"/>
            </w:pPr>
          </w:p>
        </w:tc>
        <w:tc>
          <w:tcPr>
            <w:tcW w:w="1135" w:type="dxa"/>
            <w:vMerge w:val="continue"/>
            <w:vAlign w:val="center"/>
          </w:tcPr>
          <w:p>
            <w:pPr>
              <w:jc w:val="center"/>
              <w:rPr>
                <w:rFonts w:ascii="仿宋_GB2312" w:hAnsi="宋体" w:eastAsia="仿宋_GB2312"/>
                <w:b/>
                <w:kern w:val="0"/>
                <w:sz w:val="20"/>
                <w:szCs w:val="20"/>
              </w:rPr>
            </w:pPr>
          </w:p>
        </w:tc>
        <w:tc>
          <w:tcPr>
            <w:tcW w:w="711" w:type="dxa"/>
            <w:vMerge w:val="continue"/>
            <w:vAlign w:val="center"/>
          </w:tcPr>
          <w:p>
            <w:pPr>
              <w:jc w:val="center"/>
              <w:rPr>
                <w:rFonts w:ascii="仿宋_GB2312" w:hAnsi="宋体" w:eastAsia="仿宋_GB2312"/>
                <w:b/>
                <w:kern w:val="0"/>
                <w:sz w:val="20"/>
                <w:szCs w:val="20"/>
              </w:rPr>
            </w:pPr>
          </w:p>
        </w:tc>
        <w:tc>
          <w:tcPr>
            <w:tcW w:w="1194" w:type="dxa"/>
            <w:gridSpan w:val="2"/>
            <w:vMerge w:val="continue"/>
            <w:vAlign w:val="center"/>
          </w:tcPr>
          <w:p>
            <w:pPr>
              <w:jc w:val="center"/>
              <w:rPr>
                <w:rFonts w:ascii="仿宋_GB2312" w:hAnsi="宋体" w:eastAsia="仿宋_GB2312"/>
                <w:b/>
                <w:kern w:val="0"/>
                <w:sz w:val="20"/>
                <w:szCs w:val="20"/>
              </w:rPr>
            </w:pPr>
          </w:p>
        </w:tc>
        <w:tc>
          <w:tcPr>
            <w:tcW w:w="504"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gridSpan w:val="2"/>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75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73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28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670"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115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75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720"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113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71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1194"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504"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5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hint="eastAsia" w:ascii="仿宋_GB2312" w:hAnsi="宋体" w:eastAsia="仿宋_GB2312" w:cstheme="minorBidi"/>
                <w:kern w:val="0"/>
                <w:sz w:val="16"/>
                <w:szCs w:val="16"/>
                <w:lang w:val="en-US" w:eastAsia="zh-CN" w:bidi="ar-SA"/>
              </w:rPr>
            </w:pPr>
          </w:p>
        </w:tc>
        <w:tc>
          <w:tcPr>
            <w:tcW w:w="735" w:type="dxa"/>
            <w:vAlign w:val="center"/>
          </w:tcPr>
          <w:p>
            <w:pPr>
              <w:jc w:val="left"/>
              <w:rPr>
                <w:rFonts w:hint="eastAsia" w:ascii="仿宋_GB2312" w:hAnsi="宋体" w:eastAsia="仿宋_GB2312" w:cstheme="minorBidi"/>
                <w:kern w:val="0"/>
                <w:sz w:val="16"/>
                <w:szCs w:val="16"/>
                <w:lang w:val="en-US" w:eastAsia="zh-CN" w:bidi="ar-SA"/>
              </w:rPr>
            </w:pP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社会保障和就业支出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4,762.85</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4,600.92</w:t>
            </w:r>
          </w:p>
        </w:tc>
        <w:tc>
          <w:tcPr>
            <w:tcW w:w="750" w:type="dxa"/>
            <w:vAlign w:val="center"/>
          </w:tcPr>
          <w:p>
            <w:pPr>
              <w:jc w:val="right"/>
              <w:rPr>
                <w:rFonts w:hint="eastAsia" w:ascii="仿宋_GB2312" w:hAnsi="宋体" w:eastAsia="仿宋_GB2312" w:cs="宋体"/>
                <w:kern w:val="0"/>
                <w:sz w:val="16"/>
                <w:szCs w:val="16"/>
                <w:lang w:val="en-US" w:eastAsia="zh-CN" w:bidi="ar-SA"/>
              </w:rPr>
            </w:pPr>
          </w:p>
        </w:tc>
        <w:tc>
          <w:tcPr>
            <w:tcW w:w="720"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13.91</w:t>
            </w: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4,587.01</w:t>
            </w:r>
          </w:p>
        </w:tc>
        <w:tc>
          <w:tcPr>
            <w:tcW w:w="711" w:type="dxa"/>
            <w:vAlign w:val="center"/>
          </w:tcPr>
          <w:p>
            <w:pPr>
              <w:jc w:val="right"/>
              <w:rPr>
                <w:rFonts w:hint="eastAsia" w:ascii="仿宋_GB2312" w:hAnsi="宋体" w:eastAsia="仿宋_GB2312" w:cstheme="minorBidi"/>
                <w:kern w:val="0"/>
                <w:sz w:val="16"/>
                <w:szCs w:val="16"/>
                <w:lang w:val="en-US" w:eastAsia="zh-CN" w:bidi="ar-SA"/>
              </w:rPr>
            </w:pPr>
          </w:p>
        </w:tc>
        <w:tc>
          <w:tcPr>
            <w:tcW w:w="1194" w:type="dxa"/>
            <w:gridSpan w:val="2"/>
            <w:vAlign w:val="center"/>
          </w:tcPr>
          <w:p>
            <w:pPr>
              <w:jc w:val="right"/>
              <w:rPr>
                <w:rFonts w:hint="eastAsia" w:asciiTheme="minorHAnsi" w:hAnsiTheme="minorHAnsi" w:eastAsiaTheme="minorEastAsia" w:cstheme="minorBidi"/>
                <w:kern w:val="2"/>
                <w:sz w:val="21"/>
                <w:szCs w:val="24"/>
                <w:lang w:val="en-US" w:eastAsia="zh-CN" w:bidi="ar-SA"/>
              </w:rPr>
            </w:pPr>
          </w:p>
        </w:tc>
        <w:tc>
          <w:tcPr>
            <w:tcW w:w="504"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gridSpan w:val="2"/>
            <w:vAlign w:val="center"/>
          </w:tcPr>
          <w:p>
            <w:pPr>
              <w:jc w:val="right"/>
              <w:rPr>
                <w:rFonts w:hint="eastAsia"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hint="eastAsia" w:ascii="仿宋_GB2312" w:hAnsi="宋体" w:eastAsia="仿宋_GB2312" w:cstheme="minorBidi"/>
                <w:kern w:val="0"/>
                <w:sz w:val="16"/>
                <w:szCs w:val="16"/>
                <w:lang w:val="en-US" w:eastAsia="zh-CN" w:bidi="ar-SA"/>
              </w:rPr>
            </w:pP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抚恤</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3,325.18</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3,150.41</w:t>
            </w:r>
          </w:p>
        </w:tc>
        <w:tc>
          <w:tcPr>
            <w:tcW w:w="750" w:type="dxa"/>
            <w:vAlign w:val="center"/>
          </w:tcPr>
          <w:p>
            <w:pPr>
              <w:jc w:val="right"/>
              <w:rPr>
                <w:rFonts w:hint="eastAsia" w:ascii="仿宋_GB2312" w:hAnsi="宋体" w:eastAsia="仿宋_GB2312" w:cs="宋体"/>
                <w:kern w:val="0"/>
                <w:sz w:val="16"/>
                <w:szCs w:val="16"/>
                <w:lang w:val="en-US" w:eastAsia="zh-CN" w:bidi="ar-SA"/>
              </w:rPr>
            </w:pPr>
          </w:p>
        </w:tc>
        <w:tc>
          <w:tcPr>
            <w:tcW w:w="720"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0.00</w:t>
            </w:r>
          </w:p>
        </w:tc>
        <w:tc>
          <w:tcPr>
            <w:tcW w:w="1135" w:type="dxa"/>
            <w:vAlign w:val="center"/>
          </w:tcPr>
          <w:p>
            <w:pPr>
              <w:keepNext w:val="0"/>
              <w:keepLines w:val="0"/>
              <w:widowControl/>
              <w:suppressLineNumbers w:val="0"/>
              <w:jc w:val="righ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3,150.41</w:t>
            </w:r>
          </w:p>
        </w:tc>
        <w:tc>
          <w:tcPr>
            <w:tcW w:w="711" w:type="dxa"/>
            <w:vAlign w:val="center"/>
          </w:tcPr>
          <w:p>
            <w:pPr>
              <w:jc w:val="right"/>
              <w:rPr>
                <w:rFonts w:hint="eastAsia" w:ascii="仿宋_GB2312" w:hAnsi="宋体" w:eastAsia="仿宋_GB2312" w:cstheme="minorBidi"/>
                <w:kern w:val="0"/>
                <w:sz w:val="16"/>
                <w:szCs w:val="16"/>
                <w:lang w:val="en-US" w:eastAsia="zh-CN" w:bidi="ar-SA"/>
              </w:rPr>
            </w:pPr>
          </w:p>
        </w:tc>
        <w:tc>
          <w:tcPr>
            <w:tcW w:w="1194" w:type="dxa"/>
            <w:gridSpan w:val="2"/>
            <w:vAlign w:val="center"/>
          </w:tcPr>
          <w:p>
            <w:pPr>
              <w:jc w:val="right"/>
              <w:rPr>
                <w:rFonts w:hint="eastAsia" w:asciiTheme="minorHAnsi" w:hAnsiTheme="minorHAnsi" w:eastAsiaTheme="minorEastAsia" w:cstheme="minorBidi"/>
                <w:kern w:val="2"/>
                <w:sz w:val="21"/>
                <w:szCs w:val="24"/>
                <w:lang w:val="en-US" w:eastAsia="zh-CN" w:bidi="ar-SA"/>
              </w:rPr>
            </w:pPr>
          </w:p>
        </w:tc>
        <w:tc>
          <w:tcPr>
            <w:tcW w:w="504"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gridSpan w:val="2"/>
            <w:vAlign w:val="center"/>
          </w:tcPr>
          <w:p>
            <w:pPr>
              <w:jc w:val="right"/>
              <w:rPr>
                <w:rFonts w:hint="eastAsia"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5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01</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死亡抚恤</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特定类-一次性丧葬抚恤金</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33.95</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0</w:t>
            </w:r>
          </w:p>
        </w:tc>
        <w:tc>
          <w:tcPr>
            <w:tcW w:w="750" w:type="dxa"/>
            <w:vAlign w:val="center"/>
          </w:tcPr>
          <w:p>
            <w:pPr>
              <w:jc w:val="right"/>
              <w:rPr>
                <w:rFonts w:hint="eastAsia"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0</w:t>
            </w:r>
          </w:p>
        </w:tc>
        <w:tc>
          <w:tcPr>
            <w:tcW w:w="711" w:type="dxa"/>
            <w:vAlign w:val="center"/>
          </w:tcPr>
          <w:p>
            <w:pPr>
              <w:jc w:val="right"/>
              <w:rPr>
                <w:rFonts w:hint="eastAsia" w:ascii="仿宋_GB2312" w:hAnsi="宋体" w:eastAsia="仿宋_GB2312" w:cstheme="minorBidi"/>
                <w:kern w:val="0"/>
                <w:sz w:val="16"/>
                <w:szCs w:val="16"/>
                <w:lang w:val="en-US" w:eastAsia="zh-CN" w:bidi="ar-SA"/>
              </w:rPr>
            </w:pPr>
          </w:p>
        </w:tc>
        <w:tc>
          <w:tcPr>
            <w:tcW w:w="1194" w:type="dxa"/>
            <w:gridSpan w:val="2"/>
            <w:vAlign w:val="center"/>
          </w:tcPr>
          <w:p>
            <w:pPr>
              <w:jc w:val="right"/>
              <w:rPr>
                <w:rFonts w:hint="eastAsia" w:asciiTheme="minorHAnsi" w:hAnsiTheme="minorHAnsi" w:eastAsiaTheme="minorEastAsia" w:cstheme="minorBidi"/>
                <w:kern w:val="2"/>
                <w:sz w:val="21"/>
                <w:szCs w:val="24"/>
                <w:lang w:val="en-US" w:eastAsia="zh-CN" w:bidi="ar-SA"/>
              </w:rPr>
            </w:pPr>
          </w:p>
        </w:tc>
        <w:tc>
          <w:tcPr>
            <w:tcW w:w="504"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gridSpan w:val="2"/>
            <w:vAlign w:val="center"/>
          </w:tcPr>
          <w:p>
            <w:pPr>
              <w:jc w:val="right"/>
              <w:rPr>
                <w:rFonts w:hint="eastAsia"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jc w:val="center"/>
        </w:trPr>
        <w:tc>
          <w:tcPr>
            <w:tcW w:w="5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02</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伤残抚恤</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2024年中央财政优抚对象补助经费[第一批]</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1,143.40</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1,143.40</w:t>
            </w:r>
          </w:p>
        </w:tc>
        <w:tc>
          <w:tcPr>
            <w:tcW w:w="750" w:type="dxa"/>
            <w:vAlign w:val="center"/>
          </w:tcPr>
          <w:p>
            <w:pPr>
              <w:jc w:val="right"/>
              <w:rPr>
                <w:rFonts w:hint="eastAsia"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1,143.40</w:t>
            </w:r>
          </w:p>
        </w:tc>
        <w:tc>
          <w:tcPr>
            <w:tcW w:w="711" w:type="dxa"/>
            <w:vAlign w:val="center"/>
          </w:tcPr>
          <w:p>
            <w:pPr>
              <w:jc w:val="right"/>
              <w:rPr>
                <w:rFonts w:hint="eastAsia" w:ascii="仿宋_GB2312" w:hAnsi="宋体" w:eastAsia="仿宋_GB2312" w:cstheme="minorBidi"/>
                <w:kern w:val="0"/>
                <w:sz w:val="16"/>
                <w:szCs w:val="16"/>
                <w:lang w:val="en-US" w:eastAsia="zh-CN" w:bidi="ar-SA"/>
              </w:rPr>
            </w:pPr>
          </w:p>
        </w:tc>
        <w:tc>
          <w:tcPr>
            <w:tcW w:w="1194" w:type="dxa"/>
            <w:gridSpan w:val="2"/>
            <w:vAlign w:val="center"/>
          </w:tcPr>
          <w:p>
            <w:pPr>
              <w:jc w:val="right"/>
              <w:rPr>
                <w:rFonts w:hint="eastAsia" w:asciiTheme="minorHAnsi" w:hAnsiTheme="minorHAnsi" w:eastAsiaTheme="minorEastAsia" w:cstheme="minorBidi"/>
                <w:kern w:val="2"/>
                <w:sz w:val="21"/>
                <w:szCs w:val="24"/>
                <w:lang w:val="en-US" w:eastAsia="zh-CN" w:bidi="ar-SA"/>
              </w:rPr>
            </w:pPr>
          </w:p>
        </w:tc>
        <w:tc>
          <w:tcPr>
            <w:tcW w:w="504"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gridSpan w:val="2"/>
            <w:vAlign w:val="center"/>
          </w:tcPr>
          <w:p>
            <w:pPr>
              <w:jc w:val="right"/>
              <w:rPr>
                <w:rFonts w:hint="eastAsia"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atLeast"/>
          <w:jc w:val="center"/>
        </w:trPr>
        <w:tc>
          <w:tcPr>
            <w:tcW w:w="5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02</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伤残抚恤</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优抚对象抚恤和生活补助经费支出—本级</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339.15</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339.15</w:t>
            </w:r>
          </w:p>
        </w:tc>
        <w:tc>
          <w:tcPr>
            <w:tcW w:w="750" w:type="dxa"/>
            <w:vAlign w:val="center"/>
          </w:tcPr>
          <w:p>
            <w:pPr>
              <w:jc w:val="right"/>
              <w:rPr>
                <w:rFonts w:hint="eastAsia"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339.15</w:t>
            </w:r>
          </w:p>
        </w:tc>
        <w:tc>
          <w:tcPr>
            <w:tcW w:w="711" w:type="dxa"/>
            <w:vAlign w:val="center"/>
          </w:tcPr>
          <w:p>
            <w:pPr>
              <w:jc w:val="right"/>
              <w:rPr>
                <w:rFonts w:hint="eastAsia" w:ascii="仿宋_GB2312" w:hAnsi="宋体" w:eastAsia="仿宋_GB2312" w:cstheme="minorBidi"/>
                <w:kern w:val="0"/>
                <w:sz w:val="16"/>
                <w:szCs w:val="16"/>
                <w:lang w:val="en-US" w:eastAsia="zh-CN" w:bidi="ar-SA"/>
              </w:rPr>
            </w:pPr>
          </w:p>
        </w:tc>
        <w:tc>
          <w:tcPr>
            <w:tcW w:w="1194" w:type="dxa"/>
            <w:gridSpan w:val="2"/>
            <w:vAlign w:val="center"/>
          </w:tcPr>
          <w:p>
            <w:pPr>
              <w:jc w:val="right"/>
              <w:rPr>
                <w:rFonts w:hint="eastAsia" w:asciiTheme="minorHAnsi" w:hAnsiTheme="minorHAnsi" w:eastAsiaTheme="minorEastAsia" w:cstheme="minorBidi"/>
                <w:kern w:val="2"/>
                <w:sz w:val="21"/>
                <w:szCs w:val="24"/>
                <w:lang w:val="en-US" w:eastAsia="zh-CN" w:bidi="ar-SA"/>
              </w:rPr>
            </w:pPr>
          </w:p>
        </w:tc>
        <w:tc>
          <w:tcPr>
            <w:tcW w:w="504"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0"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vAlign w:val="center"/>
          </w:tcPr>
          <w:p>
            <w:pPr>
              <w:jc w:val="right"/>
              <w:rPr>
                <w:rFonts w:hint="eastAsia" w:ascii="仿宋_GB2312" w:hAnsi="宋体" w:eastAsia="仿宋_GB2312" w:cstheme="minorBidi"/>
                <w:kern w:val="0"/>
                <w:sz w:val="16"/>
                <w:szCs w:val="16"/>
                <w:lang w:val="en-US" w:eastAsia="zh-CN" w:bidi="ar-SA"/>
              </w:rPr>
            </w:pPr>
          </w:p>
        </w:tc>
        <w:tc>
          <w:tcPr>
            <w:tcW w:w="731" w:type="dxa"/>
            <w:gridSpan w:val="2"/>
            <w:vAlign w:val="center"/>
          </w:tcPr>
          <w:p>
            <w:pPr>
              <w:jc w:val="right"/>
              <w:rPr>
                <w:rFonts w:hint="eastAsia"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05</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义务兵优待</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2024年中央财政优抚对象补助经费[第二批]</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265</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265</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265</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05</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义务兵优待</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义务兵优待金—本级</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320</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320</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320</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05</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义务兵优待</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特定类-高原艰苦地区义务兵补贴</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270</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270</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270</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其他优抚支出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2024年优抚对象节日慰问市级补助资金</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86.3</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86.3</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86.3</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其他优抚支出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2024年自治区优抚对象补助经费</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580.58</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580.58</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580.58</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其他优抚支出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特定类-立功受奖、三等功增发</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56</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10</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10</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其他优抚支出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特定类-8023部队参加核试验体检</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33.8</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33.8</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33.8</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其他优抚支出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特定类-“八一”“春节”部队及重点优抚对象慰问</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18.4</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18.4</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18.4</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其他优抚支出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特定类-优抚对象医疗保障</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178.6</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83.78</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83.78</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09</w:t>
            </w:r>
          </w:p>
        </w:tc>
        <w:tc>
          <w:tcPr>
            <w:tcW w:w="735" w:type="dxa"/>
            <w:vAlign w:val="center"/>
          </w:tcPr>
          <w:p>
            <w:pPr>
              <w:jc w:val="left"/>
              <w:rPr>
                <w:rFonts w:ascii="仿宋_GB2312" w:hAnsi="宋体" w:eastAsia="仿宋_GB2312" w:cstheme="minorBidi"/>
                <w:kern w:val="0"/>
                <w:sz w:val="16"/>
                <w:szCs w:val="16"/>
                <w:lang w:val="en-US" w:eastAsia="zh-CN" w:bidi="ar-SA"/>
              </w:rPr>
            </w:pP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退役安置</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1,308.21</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1,316.05</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8.91</w:t>
            </w: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1,307.14</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09</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05</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军队转业干部安置</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2024年自治区自主择业军队转业干部及逐月领取退役金退役军人管理服务补助经费</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8.91</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8.91</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8.91</w:t>
            </w:r>
          </w:p>
        </w:tc>
        <w:tc>
          <w:tcPr>
            <w:tcW w:w="1135" w:type="dxa"/>
            <w:vAlign w:val="center"/>
          </w:tcPr>
          <w:p>
            <w:pPr>
              <w:jc w:val="right"/>
              <w:rPr>
                <w:rFonts w:hint="eastAsia" w:ascii="仿宋_GB2312" w:hAnsi="宋体" w:eastAsia="仿宋_GB2312" w:cstheme="minorBidi"/>
                <w:kern w:val="0"/>
                <w:sz w:val="16"/>
                <w:szCs w:val="16"/>
                <w:lang w:val="en-US" w:eastAsia="zh-CN" w:bidi="ar-SA"/>
              </w:rPr>
            </w:pP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09</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05</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军队转业干部安置</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特定类-自主择业军队转业干部基本医疗、采暖、独生子女费、公务员补助、大病统筹</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546.53</w:t>
            </w:r>
          </w:p>
        </w:tc>
        <w:tc>
          <w:tcPr>
            <w:tcW w:w="1155" w:type="dxa"/>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554.37</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554.37</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09</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其他退役安置支出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2024年中央财政军队转业干部补助经费</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09</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其他退役安置支出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2024年中央财政军队转业干部补助经费</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5.37</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5.37</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5.37</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09</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99</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其他退役安置支出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退役安置支出—本级</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734.4</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734.4</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734.4</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28</w:t>
            </w:r>
          </w:p>
        </w:tc>
        <w:tc>
          <w:tcPr>
            <w:tcW w:w="735" w:type="dxa"/>
            <w:vAlign w:val="center"/>
          </w:tcPr>
          <w:p>
            <w:pPr>
              <w:jc w:val="left"/>
              <w:rPr>
                <w:rFonts w:ascii="仿宋_GB2312" w:hAnsi="宋体" w:eastAsia="仿宋_GB2312" w:cstheme="minorBidi"/>
                <w:kern w:val="0"/>
                <w:sz w:val="16"/>
                <w:szCs w:val="16"/>
                <w:lang w:val="en-US" w:eastAsia="zh-CN" w:bidi="ar-SA"/>
              </w:rPr>
            </w:pP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退役军人管理事务</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129.46</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134.46</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w:t>
            </w: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129.46</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28</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04</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拥军优属</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特定类-拥军优属四节慰问金</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129.46</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129.46</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129.46</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750" w:type="dxa"/>
            <w:vAlign w:val="center"/>
          </w:tcPr>
          <w:p>
            <w:pPr>
              <w:jc w:val="left"/>
              <w:rPr>
                <w:rFonts w:hint="default" w:ascii="仿宋_GB2312" w:hAnsi="宋体" w:eastAsia="仿宋_GB2312" w:cstheme="minorBidi"/>
                <w:kern w:val="0"/>
                <w:sz w:val="16"/>
                <w:szCs w:val="16"/>
                <w:lang w:val="en-US" w:eastAsia="zh-CN" w:bidi="ar-SA"/>
              </w:rPr>
            </w:pPr>
            <w:r>
              <w:rPr>
                <w:rFonts w:hint="eastAsia" w:ascii="仿宋_GB2312" w:hAnsi="宋体" w:eastAsia="仿宋_GB2312" w:cstheme="minorBidi"/>
                <w:kern w:val="0"/>
                <w:sz w:val="16"/>
                <w:szCs w:val="16"/>
                <w:lang w:val="en-US" w:eastAsia="zh-CN" w:bidi="ar-SA"/>
              </w:rPr>
              <w:t>28</w:t>
            </w:r>
          </w:p>
        </w:tc>
        <w:tc>
          <w:tcPr>
            <w:tcW w:w="735" w:type="dxa"/>
            <w:vAlign w:val="center"/>
          </w:tcPr>
          <w:p>
            <w:pPr>
              <w:jc w:val="left"/>
              <w:rPr>
                <w:rFonts w:hint="default" w:ascii="仿宋_GB2312" w:hAnsi="宋体" w:eastAsia="仿宋_GB2312" w:cstheme="minorBidi"/>
                <w:kern w:val="0"/>
                <w:sz w:val="16"/>
                <w:szCs w:val="16"/>
                <w:lang w:val="en-US" w:eastAsia="zh-CN" w:bidi="ar-SA"/>
              </w:rPr>
            </w:pPr>
            <w:r>
              <w:rPr>
                <w:rFonts w:hint="eastAsia" w:ascii="仿宋_GB2312" w:hAnsi="宋体" w:eastAsia="仿宋_GB2312" w:cstheme="minorBidi"/>
                <w:kern w:val="0"/>
                <w:sz w:val="16"/>
                <w:szCs w:val="16"/>
                <w:lang w:val="en-US" w:eastAsia="zh-CN" w:bidi="ar-SA"/>
              </w:rPr>
              <w:t>04</w:t>
            </w:r>
          </w:p>
        </w:tc>
        <w:tc>
          <w:tcPr>
            <w:tcW w:w="128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拥军优属</w:t>
            </w:r>
          </w:p>
        </w:tc>
        <w:tc>
          <w:tcPr>
            <w:tcW w:w="1670" w:type="dxa"/>
            <w:vAlign w:val="center"/>
          </w:tcPr>
          <w:p>
            <w:pPr>
              <w:jc w:val="lef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stheme="minorBidi"/>
                <w:color w:val="auto"/>
                <w:kern w:val="2"/>
                <w:sz w:val="20"/>
                <w:szCs w:val="20"/>
                <w:highlight w:val="none"/>
                <w:lang w:val="en-US" w:eastAsia="zh-CN" w:bidi="ar-SA"/>
              </w:rPr>
              <w:t>双拥工作经费</w:t>
            </w:r>
          </w:p>
        </w:tc>
        <w:tc>
          <w:tcPr>
            <w:tcW w:w="1155" w:type="dxa"/>
            <w:vAlign w:val="center"/>
          </w:tcPr>
          <w:p>
            <w:pPr>
              <w:keepNext w:val="0"/>
              <w:keepLines w:val="0"/>
              <w:widowControl/>
              <w:suppressLineNumbers w:val="0"/>
              <w:jc w:val="right"/>
              <w:textAlignment w:val="center"/>
              <w:rPr>
                <w:rFonts w:hint="default" w:ascii="仿宋_GB2312" w:eastAsia="仿宋_GB2312"/>
                <w:color w:val="auto"/>
                <w:sz w:val="20"/>
                <w:szCs w:val="20"/>
                <w:highlight w:val="none"/>
                <w:lang w:val="en-US" w:eastAsia="zh-CN"/>
              </w:rPr>
            </w:pPr>
            <w:r>
              <w:rPr>
                <w:rFonts w:hint="eastAsia" w:ascii="仿宋_GB2312" w:hAnsi="宋体" w:eastAsia="仿宋_GB2312" w:cs="仿宋_GB2312"/>
                <w:i w:val="0"/>
                <w:iCs w:val="0"/>
                <w:color w:val="000000"/>
                <w:kern w:val="0"/>
                <w:sz w:val="20"/>
                <w:szCs w:val="20"/>
                <w:u w:val="none"/>
                <w:lang w:val="en-US" w:eastAsia="zh-CN" w:bidi="ar"/>
              </w:rPr>
              <w:t>0</w:t>
            </w:r>
          </w:p>
        </w:tc>
        <w:tc>
          <w:tcPr>
            <w:tcW w:w="1155" w:type="dxa"/>
            <w:vAlign w:val="center"/>
          </w:tcPr>
          <w:p>
            <w:pPr>
              <w:keepNext w:val="0"/>
              <w:keepLines w:val="0"/>
              <w:widowControl/>
              <w:suppressLineNumbers w:val="0"/>
              <w:jc w:val="right"/>
              <w:textAlignment w:val="center"/>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16"/>
                <w:szCs w:val="16"/>
                <w:u w:val="none"/>
                <w:lang w:val="en-US" w:eastAsia="zh-CN" w:bidi="ar"/>
              </w:rPr>
              <w:t>5</w:t>
            </w:r>
          </w:p>
        </w:tc>
        <w:tc>
          <w:tcPr>
            <w:tcW w:w="1135" w:type="dxa"/>
            <w:vAlign w:val="center"/>
          </w:tcPr>
          <w:p>
            <w:pPr>
              <w:jc w:val="right"/>
              <w:rPr>
                <w:rFonts w:hint="eastAsia" w:ascii="仿宋_GB2312" w:eastAsia="仿宋_GB2312"/>
                <w:color w:val="auto"/>
                <w:sz w:val="20"/>
                <w:szCs w:val="20"/>
                <w:highlight w:val="none"/>
                <w:lang w:val="en-US" w:eastAsia="zh-CN"/>
              </w:rPr>
            </w:pP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210</w:t>
            </w:r>
          </w:p>
        </w:tc>
        <w:tc>
          <w:tcPr>
            <w:tcW w:w="750" w:type="dxa"/>
            <w:vAlign w:val="center"/>
          </w:tcPr>
          <w:p>
            <w:pPr>
              <w:jc w:val="left"/>
              <w:rPr>
                <w:rFonts w:ascii="仿宋_GB2312" w:hAnsi="宋体" w:eastAsia="仿宋_GB2312" w:cstheme="minorBidi"/>
                <w:kern w:val="0"/>
                <w:sz w:val="16"/>
                <w:szCs w:val="16"/>
                <w:lang w:val="en-US" w:eastAsia="zh-CN" w:bidi="ar-SA"/>
              </w:rPr>
            </w:pPr>
          </w:p>
        </w:tc>
        <w:tc>
          <w:tcPr>
            <w:tcW w:w="735" w:type="dxa"/>
            <w:vAlign w:val="center"/>
          </w:tcPr>
          <w:p>
            <w:pPr>
              <w:jc w:val="left"/>
              <w:rPr>
                <w:rFonts w:ascii="仿宋_GB2312" w:hAnsi="宋体" w:eastAsia="仿宋_GB2312" w:cstheme="minorBidi"/>
                <w:kern w:val="0"/>
                <w:sz w:val="16"/>
                <w:szCs w:val="16"/>
                <w:lang w:val="en-US" w:eastAsia="zh-CN" w:bidi="ar-SA"/>
              </w:rPr>
            </w:pP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卫生健康支出</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210</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14</w:t>
            </w:r>
          </w:p>
        </w:tc>
        <w:tc>
          <w:tcPr>
            <w:tcW w:w="735" w:type="dxa"/>
            <w:vAlign w:val="center"/>
          </w:tcPr>
          <w:p>
            <w:pPr>
              <w:jc w:val="left"/>
              <w:rPr>
                <w:rFonts w:ascii="仿宋_GB2312" w:hAnsi="宋体" w:eastAsia="仿宋_GB2312" w:cstheme="minorBidi"/>
                <w:kern w:val="0"/>
                <w:sz w:val="16"/>
                <w:szCs w:val="16"/>
                <w:lang w:val="en-US" w:eastAsia="zh-CN" w:bidi="ar-SA"/>
              </w:rPr>
            </w:pP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优抚对象医疗</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210</w:t>
            </w:r>
          </w:p>
        </w:tc>
        <w:tc>
          <w:tcPr>
            <w:tcW w:w="750"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14</w:t>
            </w:r>
          </w:p>
        </w:tc>
        <w:tc>
          <w:tcPr>
            <w:tcW w:w="735" w:type="dxa"/>
            <w:vAlign w:val="center"/>
          </w:tcPr>
          <w:p>
            <w:pPr>
              <w:jc w:val="left"/>
              <w:rPr>
                <w:rFonts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01</w:t>
            </w: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优抚对象医疗补助</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2024年中央财政优抚对象医疗保障经费</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jc w:val="right"/>
              <w:rPr>
                <w:rFonts w:hint="eastAsia" w:ascii="仿宋_GB2312" w:hAnsi="宋体" w:eastAsia="仿宋_GB2312" w:cstheme="minorBidi"/>
                <w:kern w:val="0"/>
                <w:sz w:val="16"/>
                <w:szCs w:val="16"/>
                <w:lang w:val="en-US" w:eastAsia="zh-CN" w:bidi="ar-SA"/>
              </w:rPr>
            </w:pP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34.2</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585" w:type="dxa"/>
            <w:vAlign w:val="center"/>
          </w:tcPr>
          <w:p>
            <w:pPr>
              <w:jc w:val="left"/>
              <w:rPr>
                <w:rFonts w:ascii="仿宋_GB2312" w:hAnsi="宋体" w:eastAsia="仿宋_GB2312" w:cstheme="minorBidi"/>
                <w:kern w:val="0"/>
                <w:sz w:val="16"/>
                <w:szCs w:val="16"/>
                <w:lang w:val="en-US" w:eastAsia="zh-CN" w:bidi="ar-SA"/>
              </w:rPr>
            </w:pPr>
          </w:p>
        </w:tc>
        <w:tc>
          <w:tcPr>
            <w:tcW w:w="750" w:type="dxa"/>
            <w:vAlign w:val="center"/>
          </w:tcPr>
          <w:p>
            <w:pPr>
              <w:jc w:val="left"/>
              <w:rPr>
                <w:rFonts w:ascii="仿宋_GB2312" w:hAnsi="宋体" w:eastAsia="仿宋_GB2312" w:cstheme="minorBidi"/>
                <w:kern w:val="0"/>
                <w:sz w:val="16"/>
                <w:szCs w:val="16"/>
                <w:lang w:val="en-US" w:eastAsia="zh-CN" w:bidi="ar-SA"/>
              </w:rPr>
            </w:pPr>
          </w:p>
        </w:tc>
        <w:tc>
          <w:tcPr>
            <w:tcW w:w="735" w:type="dxa"/>
            <w:vAlign w:val="center"/>
          </w:tcPr>
          <w:p>
            <w:pPr>
              <w:jc w:val="left"/>
              <w:rPr>
                <w:rFonts w:ascii="仿宋_GB2312" w:hAnsi="宋体" w:eastAsia="仿宋_GB2312" w:cstheme="minorBidi"/>
                <w:kern w:val="0"/>
                <w:sz w:val="16"/>
                <w:szCs w:val="16"/>
                <w:lang w:val="en-US" w:eastAsia="zh-CN" w:bidi="ar-SA"/>
              </w:rPr>
            </w:pPr>
          </w:p>
        </w:tc>
        <w:tc>
          <w:tcPr>
            <w:tcW w:w="1285" w:type="dxa"/>
            <w:vAlign w:val="center"/>
          </w:tcPr>
          <w:p>
            <w:pPr>
              <w:jc w:val="left"/>
              <w:rPr>
                <w:rFonts w:hint="eastAsia" w:ascii="仿宋_GB2312" w:hAnsi="宋体" w:eastAsia="仿宋_GB2312" w:cstheme="minorBidi"/>
                <w:kern w:val="0"/>
                <w:sz w:val="16"/>
                <w:szCs w:val="16"/>
                <w:lang w:val="en-US" w:eastAsia="zh-CN" w:bidi="ar-SA"/>
              </w:rPr>
            </w:pPr>
            <w:r>
              <w:rPr>
                <w:rFonts w:hint="eastAsia" w:ascii="仿宋_GB2312" w:eastAsia="仿宋_GB2312"/>
                <w:color w:val="auto"/>
                <w:sz w:val="20"/>
                <w:szCs w:val="20"/>
                <w:highlight w:val="none"/>
                <w:lang w:val="en-US" w:eastAsia="zh-CN"/>
              </w:rPr>
              <w:t>合计</w:t>
            </w:r>
          </w:p>
        </w:tc>
        <w:tc>
          <w:tcPr>
            <w:tcW w:w="1670" w:type="dxa"/>
            <w:vAlign w:val="center"/>
          </w:tcPr>
          <w:p>
            <w:pPr>
              <w:jc w:val="left"/>
              <w:rPr>
                <w:rFonts w:hint="eastAsia" w:ascii="仿宋_GB2312" w:eastAsia="仿宋_GB2312" w:hAnsiTheme="minorHAnsi" w:cstheme="minorBidi"/>
                <w:color w:val="auto"/>
                <w:kern w:val="2"/>
                <w:sz w:val="20"/>
                <w:szCs w:val="20"/>
                <w:highlight w:val="none"/>
                <w:lang w:val="en-US" w:eastAsia="zh-CN" w:bidi="ar-SA"/>
              </w:rPr>
            </w:pP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4,797.05</w:t>
            </w:r>
          </w:p>
        </w:tc>
        <w:tc>
          <w:tcPr>
            <w:tcW w:w="1155" w:type="dxa"/>
            <w:vAlign w:val="center"/>
          </w:tcPr>
          <w:p>
            <w:pPr>
              <w:keepNext w:val="0"/>
              <w:keepLines w:val="0"/>
              <w:widowControl/>
              <w:suppressLineNumbers w:val="0"/>
              <w:jc w:val="right"/>
              <w:textAlignment w:val="center"/>
              <w:rPr>
                <w:rFonts w:hint="eastAsia" w:asciiTheme="minorHAnsi" w:hAnsiTheme="minorHAnsi" w:eastAsiaTheme="minorEastAsia" w:cstheme="minorBidi"/>
                <w:kern w:val="2"/>
                <w:sz w:val="21"/>
                <w:szCs w:val="24"/>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4,635.12</w:t>
            </w:r>
          </w:p>
        </w:tc>
        <w:tc>
          <w:tcPr>
            <w:tcW w:w="750" w:type="dxa"/>
            <w:vAlign w:val="center"/>
          </w:tcPr>
          <w:p>
            <w:pPr>
              <w:jc w:val="right"/>
              <w:rPr>
                <w:rFonts w:ascii="仿宋_GB2312" w:hAnsi="宋体" w:eastAsia="仿宋_GB2312" w:cs="宋体"/>
                <w:kern w:val="0"/>
                <w:sz w:val="16"/>
                <w:szCs w:val="16"/>
                <w:lang w:val="en-US" w:eastAsia="zh-CN" w:bidi="ar-SA"/>
              </w:rPr>
            </w:pPr>
          </w:p>
        </w:tc>
        <w:tc>
          <w:tcPr>
            <w:tcW w:w="720"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13.91</w:t>
            </w:r>
          </w:p>
        </w:tc>
        <w:tc>
          <w:tcPr>
            <w:tcW w:w="1135" w:type="dxa"/>
            <w:vAlign w:val="center"/>
          </w:tcPr>
          <w:p>
            <w:pPr>
              <w:keepNext w:val="0"/>
              <w:keepLines w:val="0"/>
              <w:widowControl/>
              <w:suppressLineNumbers w:val="0"/>
              <w:jc w:val="right"/>
              <w:textAlignment w:val="center"/>
              <w:rPr>
                <w:rFonts w:hint="eastAsia" w:ascii="仿宋_GB2312" w:hAnsi="宋体" w:eastAsia="仿宋_GB2312" w:cstheme="minorBidi"/>
                <w:kern w:val="0"/>
                <w:sz w:val="16"/>
                <w:szCs w:val="16"/>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4,621.21</w:t>
            </w:r>
          </w:p>
        </w:tc>
        <w:tc>
          <w:tcPr>
            <w:tcW w:w="711" w:type="dxa"/>
            <w:vAlign w:val="center"/>
          </w:tcPr>
          <w:p>
            <w:pPr>
              <w:jc w:val="right"/>
              <w:rPr>
                <w:rFonts w:ascii="仿宋_GB2312" w:hAnsi="宋体" w:eastAsia="仿宋_GB2312" w:cstheme="minorBidi"/>
                <w:kern w:val="0"/>
                <w:sz w:val="16"/>
                <w:szCs w:val="16"/>
                <w:lang w:val="en-US" w:eastAsia="zh-CN" w:bidi="ar-SA"/>
              </w:rPr>
            </w:pPr>
          </w:p>
        </w:tc>
        <w:tc>
          <w:tcPr>
            <w:tcW w:w="1194" w:type="dxa"/>
            <w:gridSpan w:val="2"/>
            <w:vAlign w:val="center"/>
          </w:tcPr>
          <w:p>
            <w:pPr>
              <w:jc w:val="right"/>
              <w:rPr>
                <w:rFonts w:asciiTheme="minorHAnsi" w:hAnsiTheme="minorHAnsi" w:eastAsiaTheme="minorEastAsia" w:cstheme="minorBidi"/>
                <w:kern w:val="2"/>
                <w:sz w:val="21"/>
                <w:szCs w:val="24"/>
                <w:lang w:val="en-US" w:eastAsia="zh-CN" w:bidi="ar-SA"/>
              </w:rPr>
            </w:pPr>
          </w:p>
        </w:tc>
        <w:tc>
          <w:tcPr>
            <w:tcW w:w="504"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0" w:type="dxa"/>
            <w:vAlign w:val="center"/>
          </w:tcPr>
          <w:p>
            <w:pPr>
              <w:jc w:val="right"/>
              <w:rPr>
                <w:rFonts w:ascii="仿宋_GB2312" w:hAnsi="宋体" w:eastAsia="仿宋_GB2312" w:cstheme="minorBidi"/>
                <w:kern w:val="0"/>
                <w:sz w:val="16"/>
                <w:szCs w:val="16"/>
                <w:lang w:val="en-US" w:eastAsia="zh-CN" w:bidi="ar-SA"/>
              </w:rPr>
            </w:pPr>
          </w:p>
        </w:tc>
        <w:tc>
          <w:tcPr>
            <w:tcW w:w="731" w:type="dxa"/>
            <w:vAlign w:val="center"/>
          </w:tcPr>
          <w:p>
            <w:pPr>
              <w:jc w:val="right"/>
              <w:rPr>
                <w:rFonts w:ascii="仿宋_GB2312" w:hAnsi="宋体" w:eastAsia="仿宋_GB2312" w:cstheme="minorBidi"/>
                <w:kern w:val="0"/>
                <w:sz w:val="16"/>
                <w:szCs w:val="16"/>
                <w:lang w:val="en-US" w:eastAsia="zh-CN" w:bidi="ar-SA"/>
              </w:rPr>
            </w:pPr>
          </w:p>
        </w:tc>
        <w:tc>
          <w:tcPr>
            <w:tcW w:w="731" w:type="dxa"/>
            <w:gridSpan w:val="2"/>
            <w:vAlign w:val="center"/>
          </w:tcPr>
          <w:p>
            <w:pPr>
              <w:jc w:val="right"/>
              <w:rPr>
                <w:rFonts w:ascii="仿宋_GB2312" w:hAnsi="宋体" w:eastAsia="仿宋_GB2312" w:cstheme="minorBidi"/>
                <w:kern w:val="0"/>
                <w:sz w:val="16"/>
                <w:szCs w:val="16"/>
                <w:lang w:val="en-US" w:eastAsia="zh-CN" w:bidi="ar-SA"/>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918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966"/>
        <w:gridCol w:w="921"/>
        <w:gridCol w:w="702"/>
        <w:gridCol w:w="1291"/>
        <w:gridCol w:w="972"/>
        <w:gridCol w:w="971"/>
        <w:gridCol w:w="1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Style w:val="5"/>
                <w:rFonts w:hint="eastAsia" w:hAnsi="宋体"/>
                <w:lang w:val="en-US" w:eastAsia="zh-CN" w:bidi="ar"/>
              </w:rPr>
              <w:t>伊州区退役军人事务局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特定类-</w:t>
            </w:r>
            <w:r>
              <w:rPr>
                <w:rFonts w:hint="eastAsia" w:asciiTheme="majorEastAsia" w:hAnsiTheme="majorEastAsia" w:eastAsiaTheme="majorEastAsia" w:cstheme="majorEastAsia"/>
                <w:sz w:val="18"/>
                <w:szCs w:val="18"/>
              </w:rPr>
              <w:t>双拥工作经费</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阿山·擦塔尔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w:t>
            </w:r>
          </w:p>
        </w:tc>
        <w:tc>
          <w:tcPr>
            <w:tcW w:w="70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957"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通过做好更新破旧、制作永久性展板，慰问演出、军地联谊会等军地活动，双拥公园、双拥氛围建设，双拥宣传等日常运行工作，有效营造双拥氛围。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2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70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2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13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经费使用类项</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5个</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资金使用率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项目开始时间</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20240101</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90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项</w:t>
            </w:r>
            <w:r>
              <w:rPr>
                <w:rFonts w:hint="eastAsia" w:ascii="宋体" w:hAnsi="宋体" w:eastAsia="宋体" w:cs="宋体"/>
                <w:i w:val="0"/>
                <w:color w:val="000000"/>
                <w:sz w:val="20"/>
                <w:szCs w:val="20"/>
                <w:u w:val="none"/>
              </w:rPr>
              <w:t>目</w:t>
            </w:r>
            <w:r>
              <w:rPr>
                <w:rFonts w:hint="eastAsia" w:ascii="宋体" w:hAnsi="宋体" w:eastAsia="宋体" w:cs="宋体"/>
                <w:i w:val="0"/>
                <w:color w:val="000000"/>
                <w:sz w:val="20"/>
                <w:szCs w:val="20"/>
                <w:u w:val="none"/>
                <w:lang w:eastAsia="zh-CN"/>
              </w:rPr>
              <w:t>完成</w:t>
            </w:r>
            <w:r>
              <w:rPr>
                <w:rFonts w:hint="eastAsia" w:ascii="宋体" w:hAnsi="宋体" w:eastAsia="宋体" w:cs="宋体"/>
                <w:i w:val="0"/>
                <w:color w:val="000000"/>
                <w:sz w:val="20"/>
                <w:szCs w:val="20"/>
                <w:u w:val="none"/>
              </w:rPr>
              <w:t>时间</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20241231</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项目成本金额</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≤5万</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预算支出标准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创建双拥模范城</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效果显著</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按评判等级赋分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优抚对象满意度</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95%</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918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966"/>
        <w:gridCol w:w="921"/>
        <w:gridCol w:w="702"/>
        <w:gridCol w:w="1291"/>
        <w:gridCol w:w="972"/>
        <w:gridCol w:w="971"/>
        <w:gridCol w:w="1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Style w:val="5"/>
                <w:rFonts w:hint="eastAsia" w:hAnsi="宋体"/>
                <w:lang w:val="en-US" w:eastAsia="zh-CN" w:bidi="ar"/>
              </w:rPr>
              <w:t>伊州区退役军人事务局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特定类-</w:t>
            </w:r>
            <w:r>
              <w:rPr>
                <w:rFonts w:hint="eastAsia" w:asciiTheme="majorEastAsia" w:hAnsiTheme="majorEastAsia" w:eastAsiaTheme="majorEastAsia" w:cstheme="majorEastAsia"/>
                <w:sz w:val="18"/>
                <w:szCs w:val="18"/>
              </w:rPr>
              <w:t>义务兵立功受奖、三等功增发补助</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aps w:val="0"/>
                <w:color w:val="333333"/>
                <w:spacing w:val="0"/>
                <w:sz w:val="21"/>
                <w:szCs w:val="21"/>
                <w:shd w:val="clear" w:fill="FFFFFF"/>
              </w:rPr>
              <w:t>李荟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70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957"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ascii="宋体" w:hAnsi="宋体" w:eastAsia="宋体" w:cs="宋体"/>
                <w:sz w:val="24"/>
                <w:szCs w:val="24"/>
              </w:rPr>
              <w:br w:type="textWrapping"/>
            </w:r>
            <w:r>
              <w:rPr>
                <w:rFonts w:hint="eastAsia" w:ascii="宋体" w:hAnsi="宋体" w:eastAsia="宋体" w:cs="宋体"/>
                <w:i w:val="0"/>
                <w:caps w:val="0"/>
                <w:color w:val="333333"/>
                <w:spacing w:val="0"/>
                <w:sz w:val="21"/>
                <w:szCs w:val="21"/>
                <w:shd w:val="clear" w:fill="FFFFFF"/>
              </w:rPr>
              <w:t>通过为退役军人发放立功受奖、三等功增发奖励，保障优抚对象的各项权利，提升军人的幸福感和荣誉感。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2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70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2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13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0"/>
                <w:szCs w:val="20"/>
                <w:u w:val="none"/>
                <w:lang w:val="en-US" w:eastAsia="zh-CN" w:bidi="ar"/>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奖励金发放人数</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70人</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Arial" w:hAnsi="Arial" w:eastAsia="宋体" w:cs="Arial"/>
                <w:i w:val="0"/>
                <w:caps w:val="0"/>
                <w:color w:val="2B2B2B"/>
                <w:spacing w:val="0"/>
                <w:sz w:val="19"/>
                <w:szCs w:val="19"/>
                <w:shd w:val="clear" w:fill="EDEDED"/>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发放人数准确率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奖励金发放及时率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项目成本金额</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≤10万</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预算支出标准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firstLine="200" w:firstLineChars="10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提升军人的幸福感和荣誉感</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有效保障</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按评判等级赋分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立功人员满意度</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95%</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918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966"/>
        <w:gridCol w:w="921"/>
        <w:gridCol w:w="702"/>
        <w:gridCol w:w="1291"/>
        <w:gridCol w:w="972"/>
        <w:gridCol w:w="971"/>
        <w:gridCol w:w="1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Style w:val="5"/>
                <w:rFonts w:hint="eastAsia" w:hAnsi="宋体"/>
                <w:lang w:val="en-US" w:eastAsia="zh-CN" w:bidi="ar"/>
              </w:rPr>
              <w:t>伊州区退役军人事务局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特定类-优抚对象医疗补助</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杜秀清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83.78</w:t>
            </w:r>
          </w:p>
        </w:tc>
        <w:tc>
          <w:tcPr>
            <w:tcW w:w="70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83.78</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957"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caps w:val="0"/>
                <w:color w:val="333333"/>
                <w:spacing w:val="0"/>
                <w:sz w:val="21"/>
                <w:szCs w:val="21"/>
                <w:shd w:val="clear" w:fill="FFFFFF"/>
              </w:rPr>
              <w:t>通过为优抚人员进行医疗保障补助，对优抚对象参保缴费、住院和门诊费用进行补助，帮助解决优抚对象医疗难的问题，缓解优抚对象医疗经济负担。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2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70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2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13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优抚对象医疗保障补助人数</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850人</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优抚对象医疗保障补助人员准确率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优抚对象医疗保障补助及时率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优抚对象医疗保障补助成本</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≤83.78万</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预算支出标准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firstLine="200" w:firstLineChars="10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缓解优抚对象医疗经济负担</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缓解</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按评判等级赋分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被补助优抚对象满意度</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95%</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918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1089"/>
        <w:gridCol w:w="990"/>
        <w:gridCol w:w="510"/>
        <w:gridCol w:w="1291"/>
        <w:gridCol w:w="884"/>
        <w:gridCol w:w="1059"/>
        <w:gridCol w:w="1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18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Style w:val="5"/>
                <w:rFonts w:hint="eastAsia" w:hAnsi="宋体"/>
                <w:lang w:val="en-US" w:eastAsia="zh-CN" w:bidi="ar"/>
              </w:rPr>
              <w:t>伊州区退役军人事务局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特定类-自主择业军队转业干部补助</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李荟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554.37</w:t>
            </w:r>
          </w:p>
        </w:tc>
        <w:tc>
          <w:tcPr>
            <w:tcW w:w="510"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554.37</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957"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通过对自主择业军队转业干部拨付基本医疗、采暖、独生子女费、公务员补助、大病统筹，有效保障军转干部的各项权利，使自主择业军转干部的基本权益得到保障，确保退役军人服务工作更上新的台阶。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8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51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2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8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5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13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5" w:hRule="atLeast"/>
          <w:jc w:val="center"/>
        </w:trPr>
        <w:tc>
          <w:tcPr>
            <w:tcW w:w="90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ab/>
            </w:r>
            <w:r>
              <w:rPr>
                <w:rFonts w:hint="eastAsia" w:ascii="宋体" w:hAnsi="宋体" w:eastAsia="宋体" w:cs="宋体"/>
                <w:i w:val="0"/>
                <w:color w:val="000000"/>
                <w:sz w:val="20"/>
                <w:szCs w:val="20"/>
                <w:u w:val="none"/>
              </w:rPr>
              <w:t>自主择业军转干部补助人数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260人</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5"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自主择业军转干部补助准确率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自主择业军转干部补助</w:t>
            </w:r>
            <w:r>
              <w:rPr>
                <w:rFonts w:hint="eastAsia" w:ascii="宋体" w:hAnsi="宋体" w:eastAsia="宋体" w:cs="宋体"/>
                <w:i w:val="0"/>
                <w:color w:val="000000"/>
                <w:sz w:val="20"/>
                <w:szCs w:val="20"/>
                <w:u w:val="none"/>
                <w:lang w:eastAsia="zh-CN"/>
              </w:rPr>
              <w:t>发放及时</w:t>
            </w:r>
            <w:r>
              <w:rPr>
                <w:rFonts w:hint="eastAsia" w:ascii="宋体" w:hAnsi="宋体" w:eastAsia="宋体" w:cs="宋体"/>
                <w:i w:val="0"/>
                <w:color w:val="000000"/>
                <w:sz w:val="20"/>
                <w:szCs w:val="20"/>
                <w:u w:val="none"/>
              </w:rPr>
              <w:t>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15</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自主择业军转干部补助成本</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≤554.37万</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预算支出标准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按照完成比例赋分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firstLine="200" w:firstLineChars="10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保障军转干部基本权益</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保障</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ascii="Arial" w:hAnsi="Arial" w:eastAsia="宋体" w:cs="Arial"/>
                <w:i w:val="0"/>
                <w:caps w:val="0"/>
                <w:color w:val="2B2B2B"/>
                <w:spacing w:val="0"/>
                <w:sz w:val="19"/>
                <w:szCs w:val="19"/>
                <w:shd w:val="clear" w:fill="EDEDED"/>
              </w:rPr>
              <w:t>按评判等级赋分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被补助军转干部满意度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w:t>
            </w:r>
            <w:r>
              <w:rPr>
                <w:rFonts w:hint="eastAsia" w:ascii="宋体" w:hAnsi="宋体" w:eastAsia="宋体" w:cs="宋体"/>
                <w:i w:val="0"/>
                <w:color w:val="000000"/>
                <w:sz w:val="20"/>
                <w:szCs w:val="20"/>
                <w:u w:val="none"/>
                <w:lang w:val="en-US" w:eastAsia="zh-CN"/>
              </w:rPr>
              <w:t>95%</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eastAsia="zh-CN"/>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bl>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83B8C"/>
    <w:rsid w:val="05274B53"/>
    <w:rsid w:val="056148B5"/>
    <w:rsid w:val="0A8A3F4F"/>
    <w:rsid w:val="10573940"/>
    <w:rsid w:val="135D3F26"/>
    <w:rsid w:val="162855BA"/>
    <w:rsid w:val="19471BAE"/>
    <w:rsid w:val="198651E5"/>
    <w:rsid w:val="1E8C3A51"/>
    <w:rsid w:val="1F945345"/>
    <w:rsid w:val="20BD7AB2"/>
    <w:rsid w:val="22AA5687"/>
    <w:rsid w:val="22E65A86"/>
    <w:rsid w:val="24C538F5"/>
    <w:rsid w:val="25AC3344"/>
    <w:rsid w:val="26B21CBA"/>
    <w:rsid w:val="282732F5"/>
    <w:rsid w:val="2C9441C5"/>
    <w:rsid w:val="2FBD62CF"/>
    <w:rsid w:val="35663ED5"/>
    <w:rsid w:val="3F2A1D89"/>
    <w:rsid w:val="40743AD8"/>
    <w:rsid w:val="42BB109B"/>
    <w:rsid w:val="43EB39D1"/>
    <w:rsid w:val="44B94F88"/>
    <w:rsid w:val="45130435"/>
    <w:rsid w:val="4DFB0602"/>
    <w:rsid w:val="535A4C22"/>
    <w:rsid w:val="56DD07E7"/>
    <w:rsid w:val="62746905"/>
    <w:rsid w:val="63AA504B"/>
    <w:rsid w:val="68951964"/>
    <w:rsid w:val="6C682745"/>
    <w:rsid w:val="77741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2024-07-11T08:16:04Z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AAB8E15436724577B96503A403A00621</vt:lpwstr>
  </property>
</Properties>
</file>