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伊州区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财政局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val="en-US" w:eastAsia="zh-CN"/>
        </w:rPr>
        <w:t>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项目支出由年初363万元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调整为441万元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</w:t>
      </w:r>
      <w:r>
        <w:commentReference w:id="2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财政局项目支出表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766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Style w:val="5"/>
                <w:rFonts w:hint="eastAsia" w:hAnsi="宋体"/>
                <w:lang w:val="en-US" w:eastAsia="zh-CN" w:bidi="ar"/>
              </w:rPr>
              <w:t>伊州区财政局</w:t>
            </w: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3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3"/>
            <w:r>
              <w:commentReference w:id="3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4"/>
            <w:r>
              <w:commentReference w:id="4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66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一般公共服务支出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其他财政事务支出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案件申诉上诉费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其他财政事务支出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档案室改造资金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其他财政事务支出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非法集资专项宣传费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其他财政事务支出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预算绩效管理、预决算公开、内控制度等服务费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401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441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-87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tabs>
                <w:tab w:val="left" w:pos="1409"/>
              </w:tabs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档案室改造资金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路蛟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通过开展档案室改造建设工作，提升档案规范化管理水平，发挥档案资源作用。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地面、承重墙改造面积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&gt;=74平方米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档案室改造建设验收合格率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档案室改造建设完成及时率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95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地面、承重墙改造费用档案密集架改造费用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改造档案室使用率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95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922" w:type="dxa"/>
        <w:jc w:val="center"/>
        <w:tblInd w:w="-87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tabs>
                <w:tab w:val="left" w:pos="1409"/>
              </w:tabs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特定类-案件申诉上诉费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刘亮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通过聘用律师团队应对相关部门、企业、单位投诉，保障财政资金合法权益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应对投诉次数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&gt;=1次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聘用律师团队资质达标率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应诉及时率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聘用律师团队费用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&lt;=10万元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节约财政资金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&gt;=10万元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528" w:type="dxa"/>
        <w:jc w:val="center"/>
        <w:tblInd w:w="-87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74"/>
        <w:gridCol w:w="659"/>
        <w:gridCol w:w="548"/>
        <w:gridCol w:w="772"/>
        <w:gridCol w:w="106"/>
        <w:gridCol w:w="394"/>
        <w:gridCol w:w="329"/>
        <w:gridCol w:w="387"/>
        <w:gridCol w:w="365"/>
        <w:gridCol w:w="1"/>
        <w:gridCol w:w="281"/>
        <w:gridCol w:w="610"/>
        <w:gridCol w:w="282"/>
        <w:gridCol w:w="767"/>
        <w:gridCol w:w="116"/>
        <w:gridCol w:w="632"/>
        <w:gridCol w:w="1"/>
        <w:gridCol w:w="1"/>
        <w:gridCol w:w="249"/>
        <w:gridCol w:w="172"/>
        <w:gridCol w:w="418"/>
        <w:gridCol w:w="200"/>
        <w:gridCol w:w="1"/>
        <w:gridCol w:w="417"/>
        <w:gridCol w:w="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523" w:hRule="atLeast"/>
          <w:jc w:val="center"/>
        </w:trPr>
        <w:tc>
          <w:tcPr>
            <w:tcW w:w="707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387" w:hRule="atLeast"/>
          <w:jc w:val="center"/>
        </w:trPr>
        <w:tc>
          <w:tcPr>
            <w:tcW w:w="707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450" w:hRule="atLeast"/>
          <w:jc w:val="center"/>
        </w:trPr>
        <w:tc>
          <w:tcPr>
            <w:tcW w:w="14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592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tabs>
                <w:tab w:val="left" w:pos="1409"/>
              </w:tabs>
              <w:jc w:val="left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哈密市伊州区财政局</w:t>
            </w:r>
          </w:p>
        </w:tc>
        <w:tc>
          <w:tcPr>
            <w:tcW w:w="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tabs>
                <w:tab w:val="left" w:pos="1409"/>
              </w:tabs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tabs>
                <w:tab w:val="left" w:pos="1409"/>
              </w:tabs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450" w:hRule="atLeast"/>
          <w:jc w:val="center"/>
        </w:trPr>
        <w:tc>
          <w:tcPr>
            <w:tcW w:w="14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  <w:t>特定类-非法集资专项宣传费</w:t>
            </w:r>
          </w:p>
        </w:tc>
        <w:tc>
          <w:tcPr>
            <w:tcW w:w="1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  <w:t>蔡雪雪</w:t>
            </w:r>
          </w:p>
        </w:tc>
        <w:tc>
          <w:tcPr>
            <w:tcW w:w="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450" w:hRule="atLeast"/>
          <w:jc w:val="center"/>
        </w:trPr>
        <w:tc>
          <w:tcPr>
            <w:tcW w:w="14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5</w:t>
            </w: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5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9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679" w:hRule="atLeast"/>
          <w:jc w:val="center"/>
        </w:trPr>
        <w:tc>
          <w:tcPr>
            <w:tcW w:w="14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5592" w:type="dxa"/>
            <w:gridSpan w:val="1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  <w:t>按照哈密市2024年度防范非法集资宣传方案，每月由各行业主管部门完成防范非法集资宣传活动开展工作，可提升广大群众树立正确理财观念，加强群众风险预警提示。</w:t>
            </w:r>
          </w:p>
        </w:tc>
        <w:tc>
          <w:tcPr>
            <w:tcW w:w="42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450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3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74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  <w:tc>
          <w:tcPr>
            <w:tcW w:w="42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450" w:hRule="atLeast"/>
          <w:jc w:val="center"/>
        </w:trPr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宣传材料印刷数量</w:t>
            </w: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&gt;=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3万份</w:t>
            </w: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历史标准</w:t>
            </w: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按照正常比例赋分</w:t>
            </w:r>
          </w:p>
        </w:tc>
        <w:tc>
          <w:tcPr>
            <w:tcW w:w="7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工作资料</w:t>
            </w:r>
          </w:p>
        </w:tc>
        <w:tc>
          <w:tcPr>
            <w:tcW w:w="4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450" w:hRule="atLeast"/>
          <w:jc w:val="center"/>
        </w:trPr>
        <w:tc>
          <w:tcPr>
            <w:tcW w:w="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83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宣传展板制作数量</w:t>
            </w: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&gt;=3个</w:t>
            </w: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历史标准</w:t>
            </w: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3</w:t>
            </w: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按照正常比例赋分</w:t>
            </w:r>
          </w:p>
        </w:tc>
        <w:tc>
          <w:tcPr>
            <w:tcW w:w="7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工作资料</w:t>
            </w:r>
          </w:p>
        </w:tc>
        <w:tc>
          <w:tcPr>
            <w:tcW w:w="4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450" w:hRule="atLeast"/>
          <w:jc w:val="center"/>
        </w:trPr>
        <w:tc>
          <w:tcPr>
            <w:tcW w:w="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833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开展宣传活动主题数量</w:t>
            </w: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&gt;=10件</w:t>
            </w: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历史标准</w:t>
            </w: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7</w:t>
            </w: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按照正常比例赋分</w:t>
            </w:r>
          </w:p>
        </w:tc>
        <w:tc>
          <w:tcPr>
            <w:tcW w:w="7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工作资料</w:t>
            </w:r>
          </w:p>
        </w:tc>
        <w:tc>
          <w:tcPr>
            <w:tcW w:w="4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450" w:hRule="atLeast"/>
          <w:jc w:val="center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8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宣传材料质量合格率</w:t>
            </w: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&gt;=95%</w:t>
            </w: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计划标准</w:t>
            </w: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4</w:t>
            </w: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按照正常比例赋分</w:t>
            </w:r>
          </w:p>
        </w:tc>
        <w:tc>
          <w:tcPr>
            <w:tcW w:w="7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工作资料</w:t>
            </w:r>
          </w:p>
        </w:tc>
        <w:tc>
          <w:tcPr>
            <w:tcW w:w="4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450" w:hRule="atLeast"/>
          <w:jc w:val="center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83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宣传展板质量合格率</w:t>
            </w: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&gt;=95%</w:t>
            </w: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计划标准</w:t>
            </w: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3</w:t>
            </w: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按照正常比例赋分</w:t>
            </w:r>
          </w:p>
        </w:tc>
        <w:tc>
          <w:tcPr>
            <w:tcW w:w="7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工作资料</w:t>
            </w:r>
          </w:p>
        </w:tc>
        <w:tc>
          <w:tcPr>
            <w:tcW w:w="4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450" w:hRule="atLeast"/>
          <w:jc w:val="center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833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宣传物品质量合格率</w:t>
            </w: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&gt;=95%</w:t>
            </w: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计划标准</w:t>
            </w: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6</w:t>
            </w: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按照正常比例赋分</w:t>
            </w:r>
          </w:p>
        </w:tc>
        <w:tc>
          <w:tcPr>
            <w:tcW w:w="7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工作资料</w:t>
            </w:r>
          </w:p>
        </w:tc>
        <w:tc>
          <w:tcPr>
            <w:tcW w:w="4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450" w:hRule="atLeast"/>
          <w:jc w:val="center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宣传材料印刷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eastAsia="zh-CN"/>
              </w:rPr>
              <w:t>、展板制作及时率</w:t>
            </w: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&gt;=95%</w:t>
            </w: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计划标准</w:t>
            </w: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13</w:t>
            </w: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按照正常比例赋分</w:t>
            </w:r>
          </w:p>
        </w:tc>
        <w:tc>
          <w:tcPr>
            <w:tcW w:w="7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工作资料</w:t>
            </w:r>
          </w:p>
        </w:tc>
        <w:tc>
          <w:tcPr>
            <w:tcW w:w="4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450" w:hRule="atLeast"/>
          <w:jc w:val="center"/>
        </w:trPr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宣传材料印刷费用</w:t>
            </w: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=4.50万元</w:t>
            </w: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历史标准</w:t>
            </w: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8</w:t>
            </w: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按照正常比例赋分</w:t>
            </w:r>
          </w:p>
        </w:tc>
        <w:tc>
          <w:tcPr>
            <w:tcW w:w="7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原始凭证</w:t>
            </w:r>
          </w:p>
        </w:tc>
        <w:tc>
          <w:tcPr>
            <w:tcW w:w="4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450" w:hRule="atLeast"/>
          <w:jc w:val="center"/>
        </w:trPr>
        <w:tc>
          <w:tcPr>
            <w:tcW w:w="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83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宣传展板制作费用</w:t>
            </w: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&lt;=1500元</w:t>
            </w: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历史标准</w:t>
            </w: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6</w:t>
            </w: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按照正常比例赋分</w:t>
            </w:r>
          </w:p>
        </w:tc>
        <w:tc>
          <w:tcPr>
            <w:tcW w:w="7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原始凭证</w:t>
            </w:r>
          </w:p>
        </w:tc>
        <w:tc>
          <w:tcPr>
            <w:tcW w:w="4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450" w:hRule="atLeast"/>
          <w:jc w:val="center"/>
        </w:trPr>
        <w:tc>
          <w:tcPr>
            <w:tcW w:w="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833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宣传物品购置费用</w:t>
            </w: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&lt;=4500元</w:t>
            </w: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历史标准</w:t>
            </w: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6</w:t>
            </w: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7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原始凭证</w:t>
            </w:r>
          </w:p>
        </w:tc>
        <w:tc>
          <w:tcPr>
            <w:tcW w:w="4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327" w:hRule="atLeast"/>
          <w:jc w:val="center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eastAsia="zh-CN"/>
              </w:rPr>
            </w:pP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7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327" w:hRule="atLeast"/>
          <w:jc w:val="center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7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365" w:hRule="atLeast"/>
          <w:jc w:val="center"/>
        </w:trPr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eastAsia="zh-CN"/>
              </w:rPr>
            </w:pP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7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450" w:hRule="atLeast"/>
          <w:jc w:val="center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eastAsia="zh-CN"/>
              </w:rPr>
              <w:t>防范非法知识宣传</w:t>
            </w: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&gt;=95%</w:t>
            </w: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计划标准</w:t>
            </w: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20</w:t>
            </w: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按照正常比例赋分</w:t>
            </w:r>
          </w:p>
        </w:tc>
        <w:tc>
          <w:tcPr>
            <w:tcW w:w="7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工作资料</w:t>
            </w:r>
          </w:p>
        </w:tc>
        <w:tc>
          <w:tcPr>
            <w:tcW w:w="4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377" w:hRule="atLeast"/>
          <w:jc w:val="center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7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619" w:type="dxa"/>
          <w:trHeight w:val="450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eastAsia="zh-CN"/>
              </w:rPr>
              <w:t>受宣传群众满意度</w:t>
            </w:r>
          </w:p>
        </w:tc>
        <w:tc>
          <w:tcPr>
            <w:tcW w:w="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&gt;=95%</w:t>
            </w:r>
          </w:p>
        </w:tc>
        <w:tc>
          <w:tcPr>
            <w:tcW w:w="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计划标准</w:t>
            </w:r>
          </w:p>
        </w:tc>
        <w:tc>
          <w:tcPr>
            <w:tcW w:w="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  <w:lang w:val="en-US" w:eastAsia="zh-CN"/>
              </w:rPr>
              <w:t>10</w:t>
            </w: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按照正常比例赋分</w:t>
            </w:r>
          </w:p>
        </w:tc>
        <w:tc>
          <w:tcPr>
            <w:tcW w:w="7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3"/>
                <w:szCs w:val="13"/>
                <w:u w:val="none"/>
              </w:rPr>
              <w:t>工作资料</w:t>
            </w:r>
          </w:p>
        </w:tc>
        <w:tc>
          <w:tcPr>
            <w:tcW w:w="4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408" w:hRule="atLeast"/>
          <w:jc w:val="center"/>
        </w:trPr>
        <w:tc>
          <w:tcPr>
            <w:tcW w:w="81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450" w:hRule="atLeast"/>
          <w:jc w:val="center"/>
        </w:trPr>
        <w:tc>
          <w:tcPr>
            <w:tcW w:w="81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450" w:hRule="atLeast"/>
          <w:jc w:val="center"/>
        </w:trPr>
        <w:tc>
          <w:tcPr>
            <w:tcW w:w="20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083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tabs>
                <w:tab w:val="left" w:pos="1409"/>
              </w:tabs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哈密市伊州区财政局</w:t>
            </w:r>
          </w:p>
        </w:tc>
        <w:tc>
          <w:tcPr>
            <w:tcW w:w="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tabs>
                <w:tab w:val="left" w:pos="1409"/>
              </w:tabs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450" w:hRule="atLeast"/>
          <w:jc w:val="center"/>
        </w:trPr>
        <w:tc>
          <w:tcPr>
            <w:tcW w:w="20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35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预算绩效管理、预决算公开、内控制度等工作经费</w:t>
            </w:r>
          </w:p>
        </w:tc>
        <w:tc>
          <w:tcPr>
            <w:tcW w:w="20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7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路蛟</w:t>
            </w:r>
          </w:p>
        </w:tc>
        <w:tc>
          <w:tcPr>
            <w:tcW w:w="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450" w:hRule="atLeast"/>
          <w:jc w:val="center"/>
        </w:trPr>
        <w:tc>
          <w:tcPr>
            <w:tcW w:w="20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53</w:t>
            </w:r>
          </w:p>
        </w:tc>
        <w:tc>
          <w:tcPr>
            <w:tcW w:w="75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1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53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67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840" w:hRule="atLeast"/>
          <w:jc w:val="center"/>
        </w:trPr>
        <w:tc>
          <w:tcPr>
            <w:tcW w:w="20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083" w:type="dxa"/>
            <w:gridSpan w:val="1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通过完成以前年度劳务派遣工作人员费用拨付等工作，优化资金管理，提升部门整体财务管理水平。</w:t>
            </w:r>
          </w:p>
        </w:tc>
        <w:tc>
          <w:tcPr>
            <w:tcW w:w="41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1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7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5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17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8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791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  <w:tc>
          <w:tcPr>
            <w:tcW w:w="41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1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拨付劳务派遣工作人员数量</w:t>
            </w: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&gt;=5人</w:t>
            </w:r>
          </w:p>
        </w:tc>
        <w:tc>
          <w:tcPr>
            <w:tcW w:w="7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计划标准</w:t>
            </w:r>
          </w:p>
        </w:tc>
        <w:tc>
          <w:tcPr>
            <w:tcW w:w="11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10</w:t>
            </w:r>
          </w:p>
        </w:tc>
        <w:tc>
          <w:tcPr>
            <w:tcW w:w="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按照正常比例赋分</w:t>
            </w:r>
          </w:p>
        </w:tc>
        <w:tc>
          <w:tcPr>
            <w:tcW w:w="7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工作资料,说明材料</w:t>
            </w:r>
          </w:p>
        </w:tc>
        <w:tc>
          <w:tcPr>
            <w:tcW w:w="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1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207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涉及劳务派遣人员工作费用拨付年度</w:t>
            </w: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=4年</w:t>
            </w:r>
          </w:p>
        </w:tc>
        <w:tc>
          <w:tcPr>
            <w:tcW w:w="7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计划标准</w:t>
            </w:r>
          </w:p>
        </w:tc>
        <w:tc>
          <w:tcPr>
            <w:tcW w:w="11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5</w:t>
            </w:r>
          </w:p>
        </w:tc>
        <w:tc>
          <w:tcPr>
            <w:tcW w:w="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按照正常比例赋分</w:t>
            </w:r>
          </w:p>
        </w:tc>
        <w:tc>
          <w:tcPr>
            <w:tcW w:w="7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工作资料,说明材料</w:t>
            </w:r>
          </w:p>
        </w:tc>
        <w:tc>
          <w:tcPr>
            <w:tcW w:w="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劳务派遣人员工作资金拨付合规率</w:t>
            </w: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&gt;=95%</w:t>
            </w:r>
          </w:p>
        </w:tc>
        <w:tc>
          <w:tcPr>
            <w:tcW w:w="7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计划标准</w:t>
            </w:r>
          </w:p>
        </w:tc>
        <w:tc>
          <w:tcPr>
            <w:tcW w:w="11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15</w:t>
            </w:r>
          </w:p>
        </w:tc>
        <w:tc>
          <w:tcPr>
            <w:tcW w:w="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按照正常比例赋分</w:t>
            </w:r>
          </w:p>
        </w:tc>
        <w:tc>
          <w:tcPr>
            <w:tcW w:w="7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工作资料,说明材料</w:t>
            </w:r>
          </w:p>
        </w:tc>
        <w:tc>
          <w:tcPr>
            <w:tcW w:w="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劳务派遣人员工作资金拨付及时率</w:t>
            </w: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&gt;=95%</w:t>
            </w:r>
          </w:p>
        </w:tc>
        <w:tc>
          <w:tcPr>
            <w:tcW w:w="7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计划标准</w:t>
            </w:r>
          </w:p>
        </w:tc>
        <w:tc>
          <w:tcPr>
            <w:tcW w:w="11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10</w:t>
            </w:r>
          </w:p>
        </w:tc>
        <w:tc>
          <w:tcPr>
            <w:tcW w:w="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按照正常比例赋分</w:t>
            </w:r>
          </w:p>
        </w:tc>
        <w:tc>
          <w:tcPr>
            <w:tcW w:w="7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工作资料,说明材料</w:t>
            </w:r>
          </w:p>
        </w:tc>
        <w:tc>
          <w:tcPr>
            <w:tcW w:w="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1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劳务派遣人员工作费用</w:t>
            </w: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&lt;=53万元</w:t>
            </w:r>
          </w:p>
        </w:tc>
        <w:tc>
          <w:tcPr>
            <w:tcW w:w="7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预算支出标准</w:t>
            </w:r>
          </w:p>
        </w:tc>
        <w:tc>
          <w:tcPr>
            <w:tcW w:w="11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20</w:t>
            </w:r>
          </w:p>
        </w:tc>
        <w:tc>
          <w:tcPr>
            <w:tcW w:w="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按照正常比例赋分</w:t>
            </w:r>
          </w:p>
        </w:tc>
        <w:tc>
          <w:tcPr>
            <w:tcW w:w="7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原始凭证</w:t>
            </w:r>
          </w:p>
        </w:tc>
        <w:tc>
          <w:tcPr>
            <w:tcW w:w="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1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提升部门整体财务管理水平</w:t>
            </w: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有效提升</w:t>
            </w:r>
          </w:p>
        </w:tc>
        <w:tc>
          <w:tcPr>
            <w:tcW w:w="7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计划标准</w:t>
            </w:r>
          </w:p>
        </w:tc>
        <w:tc>
          <w:tcPr>
            <w:tcW w:w="11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20</w:t>
            </w:r>
          </w:p>
        </w:tc>
        <w:tc>
          <w:tcPr>
            <w:tcW w:w="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按评判等级赋分</w:t>
            </w:r>
          </w:p>
        </w:tc>
        <w:tc>
          <w:tcPr>
            <w:tcW w:w="7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说明材料</w:t>
            </w:r>
          </w:p>
        </w:tc>
        <w:tc>
          <w:tcPr>
            <w:tcW w:w="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拨付劳务派遣工作人员满意度</w:t>
            </w: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&gt;=95%</w:t>
            </w:r>
          </w:p>
        </w:tc>
        <w:tc>
          <w:tcPr>
            <w:tcW w:w="7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计划标准</w:t>
            </w:r>
          </w:p>
        </w:tc>
        <w:tc>
          <w:tcPr>
            <w:tcW w:w="11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10</w:t>
            </w:r>
          </w:p>
        </w:tc>
        <w:tc>
          <w:tcPr>
            <w:tcW w:w="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满意度赋分</w:t>
            </w:r>
          </w:p>
        </w:tc>
        <w:tc>
          <w:tcPr>
            <w:tcW w:w="7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  <w:t>工作资料</w:t>
            </w:r>
          </w:p>
        </w:tc>
        <w:tc>
          <w:tcPr>
            <w:tcW w:w="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171764DD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5E7D6258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607D0543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42Z" w:initials="Y">
    <w:p w14:paraId="098E3C9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4" w:author="YuSuan" w:date="2024-05-24T11:42:58Z" w:initials="Y">
    <w:p w14:paraId="4B5C3EBB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71764DD" w15:done="0"/>
  <w15:commentEx w15:paraId="5E7D6258" w15:done="0"/>
  <w15:commentEx w15:paraId="607D0543" w15:done="0"/>
  <w15:commentEx w15:paraId="098E3C9C" w15:done="0"/>
  <w15:commentEx w15:paraId="4B5C3EB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A8A3F4F"/>
    <w:rsid w:val="10573940"/>
    <w:rsid w:val="1DA91ED2"/>
    <w:rsid w:val="1E8C3A51"/>
    <w:rsid w:val="1F945345"/>
    <w:rsid w:val="22AA5687"/>
    <w:rsid w:val="22E65A86"/>
    <w:rsid w:val="234B327C"/>
    <w:rsid w:val="24C538F5"/>
    <w:rsid w:val="379C6FB2"/>
    <w:rsid w:val="3DE860EC"/>
    <w:rsid w:val="3F2A1D89"/>
    <w:rsid w:val="43EB39D1"/>
    <w:rsid w:val="44B94F88"/>
    <w:rsid w:val="4CBB3CC1"/>
    <w:rsid w:val="56D749C2"/>
    <w:rsid w:val="58D05666"/>
    <w:rsid w:val="69B33A02"/>
    <w:rsid w:val="69EB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2024-07-09T10:04:19Z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