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哈密市伊州区林业和草原局</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r>
        <w:rPr>
          <w:rFonts w:hint="eastAsia" w:ascii="仿宋_GB2312" w:hAnsi="仿宋_GB2312" w:eastAsia="仿宋_GB2312" w:cs="仿宋_GB2312"/>
          <w:color w:val="auto"/>
          <w:spacing w:val="18"/>
          <w:sz w:val="32"/>
          <w:szCs w:val="32"/>
          <w:highlight w:val="none"/>
          <w:lang w:val="en-US" w:eastAsia="zh-CN"/>
        </w:rPr>
        <w:t>项目支出由年初1438.27万元调整为2247.57万元</w:t>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附件一：伊州区林业和草原局项目支出表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tbl>
      <w:tblPr>
        <w:tblStyle w:val="3"/>
        <w:tblpPr w:leftFromText="180" w:rightFromText="180" w:vertAnchor="text" w:horzAnchor="page" w:tblpX="528" w:tblpY="471"/>
        <w:tblOverlap w:val="never"/>
        <w:tblW w:w="15266" w:type="dxa"/>
        <w:tblInd w:w="0" w:type="dxa"/>
        <w:tblLayout w:type="fixed"/>
        <w:tblCellMar>
          <w:top w:w="0" w:type="dxa"/>
          <w:left w:w="108" w:type="dxa"/>
          <w:bottom w:w="0" w:type="dxa"/>
          <w:right w:w="108" w:type="dxa"/>
        </w:tblCellMar>
      </w:tblPr>
      <w:tblGrid>
        <w:gridCol w:w="630"/>
        <w:gridCol w:w="510"/>
        <w:gridCol w:w="495"/>
        <w:gridCol w:w="1247"/>
        <w:gridCol w:w="2040"/>
        <w:gridCol w:w="1033"/>
        <w:gridCol w:w="1020"/>
        <w:gridCol w:w="840"/>
        <w:gridCol w:w="975"/>
        <w:gridCol w:w="900"/>
        <w:gridCol w:w="819"/>
        <w:gridCol w:w="932"/>
        <w:gridCol w:w="36"/>
        <w:gridCol w:w="730"/>
        <w:gridCol w:w="730"/>
        <w:gridCol w:w="730"/>
        <w:gridCol w:w="731"/>
        <w:gridCol w:w="868"/>
      </w:tblGrid>
      <w:tr>
        <w:tblPrEx>
          <w:tblLayout w:type="fixed"/>
          <w:tblCellMar>
            <w:top w:w="0" w:type="dxa"/>
            <w:left w:w="108" w:type="dxa"/>
            <w:bottom w:w="0" w:type="dxa"/>
            <w:right w:w="108" w:type="dxa"/>
          </w:tblCellMar>
        </w:tblPrEx>
        <w:trPr>
          <w:trHeight w:val="476" w:hRule="atLeast"/>
        </w:trPr>
        <w:tc>
          <w:tcPr>
            <w:tcW w:w="11441"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w:t>
            </w:r>
            <w:r>
              <w:rPr>
                <w:rStyle w:val="5"/>
                <w:rFonts w:hAnsi="宋体"/>
                <w:lang w:val="en-US" w:eastAsia="zh-CN" w:bidi="ar"/>
              </w:rPr>
              <w:t>哈密市伊州区林业和草原局</w:t>
            </w:r>
          </w:p>
        </w:tc>
        <w:tc>
          <w:tcPr>
            <w:tcW w:w="3825" w:type="dxa"/>
            <w:gridSpan w:val="6"/>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trPr>
        <w:tc>
          <w:tcPr>
            <w:tcW w:w="1635"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1247"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2040"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1033"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年初项目支出合计</w:t>
            </w:r>
          </w:p>
        </w:tc>
        <w:tc>
          <w:tcPr>
            <w:tcW w:w="102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调整后项目支出合计</w:t>
            </w:r>
          </w:p>
        </w:tc>
        <w:tc>
          <w:tcPr>
            <w:tcW w:w="84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75"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0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819"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968" w:type="dxa"/>
            <w:gridSpan w:val="2"/>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868"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4" w:hRule="atLeast"/>
        </w:trPr>
        <w:tc>
          <w:tcPr>
            <w:tcW w:w="630"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510"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49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1247"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2040" w:type="dxa"/>
            <w:vMerge w:val="continue"/>
            <w:vAlign w:val="center"/>
          </w:tcPr>
          <w:p>
            <w:pPr>
              <w:jc w:val="center"/>
            </w:pPr>
          </w:p>
        </w:tc>
        <w:tc>
          <w:tcPr>
            <w:tcW w:w="1033" w:type="dxa"/>
            <w:vMerge w:val="continue"/>
            <w:vAlign w:val="center"/>
          </w:tcPr>
          <w:p>
            <w:pPr>
              <w:jc w:val="center"/>
              <w:rPr>
                <w:rFonts w:ascii="仿宋_GB2312" w:hAnsi="宋体" w:eastAsia="仿宋_GB2312"/>
                <w:b/>
                <w:kern w:val="0"/>
                <w:sz w:val="20"/>
                <w:szCs w:val="20"/>
              </w:rPr>
            </w:pPr>
          </w:p>
        </w:tc>
        <w:tc>
          <w:tcPr>
            <w:tcW w:w="1020" w:type="dxa"/>
            <w:vMerge w:val="continue"/>
            <w:vAlign w:val="center"/>
          </w:tcPr>
          <w:p>
            <w:pPr>
              <w:jc w:val="center"/>
              <w:rPr>
                <w:rFonts w:ascii="仿宋_GB2312" w:hAnsi="宋体" w:eastAsia="仿宋_GB2312"/>
                <w:b/>
                <w:kern w:val="0"/>
                <w:sz w:val="20"/>
                <w:szCs w:val="20"/>
              </w:rPr>
            </w:pPr>
          </w:p>
        </w:tc>
        <w:tc>
          <w:tcPr>
            <w:tcW w:w="840" w:type="dxa"/>
            <w:vMerge w:val="continue"/>
            <w:vAlign w:val="center"/>
          </w:tcPr>
          <w:p>
            <w:pPr>
              <w:jc w:val="center"/>
              <w:rPr>
                <w:rFonts w:ascii="仿宋_GB2312" w:hAnsi="宋体" w:eastAsia="仿宋_GB2312"/>
                <w:b/>
                <w:kern w:val="0"/>
                <w:sz w:val="20"/>
                <w:szCs w:val="20"/>
              </w:rPr>
            </w:pPr>
          </w:p>
        </w:tc>
        <w:tc>
          <w:tcPr>
            <w:tcW w:w="975" w:type="dxa"/>
            <w:vMerge w:val="continue"/>
            <w:vAlign w:val="center"/>
          </w:tcPr>
          <w:p>
            <w:pPr>
              <w:jc w:val="center"/>
            </w:pPr>
          </w:p>
        </w:tc>
        <w:tc>
          <w:tcPr>
            <w:tcW w:w="900" w:type="dxa"/>
            <w:vMerge w:val="continue"/>
            <w:vAlign w:val="center"/>
          </w:tcPr>
          <w:p>
            <w:pPr>
              <w:jc w:val="center"/>
              <w:rPr>
                <w:rFonts w:ascii="仿宋_GB2312" w:hAnsi="宋体" w:eastAsia="仿宋_GB2312"/>
                <w:b/>
                <w:kern w:val="0"/>
                <w:sz w:val="20"/>
                <w:szCs w:val="20"/>
              </w:rPr>
            </w:pPr>
          </w:p>
        </w:tc>
        <w:tc>
          <w:tcPr>
            <w:tcW w:w="819" w:type="dxa"/>
            <w:vMerge w:val="continue"/>
            <w:vAlign w:val="center"/>
          </w:tcPr>
          <w:p>
            <w:pPr>
              <w:jc w:val="center"/>
              <w:rPr>
                <w:rFonts w:ascii="仿宋_GB2312" w:hAnsi="宋体" w:eastAsia="仿宋_GB2312"/>
                <w:b/>
                <w:kern w:val="0"/>
                <w:sz w:val="20"/>
                <w:szCs w:val="20"/>
              </w:rPr>
            </w:pPr>
          </w:p>
        </w:tc>
        <w:tc>
          <w:tcPr>
            <w:tcW w:w="968" w:type="dxa"/>
            <w:gridSpan w:val="2"/>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868"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51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49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1247"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2040"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1033"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102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84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75"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0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819"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968" w:type="dxa"/>
            <w:gridSpan w:val="2"/>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868"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30"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rPr>
            </w:pPr>
          </w:p>
        </w:tc>
        <w:tc>
          <w:tcPr>
            <w:tcW w:w="495" w:type="dxa"/>
            <w:vAlign w:val="center"/>
          </w:tcPr>
          <w:p>
            <w:pPr>
              <w:jc w:val="left"/>
              <w:rPr>
                <w:rFonts w:ascii="仿宋_GB2312" w:hAnsi="宋体" w:eastAsia="仿宋_GB2312"/>
                <w:kern w:val="0"/>
                <w:sz w:val="16"/>
                <w:szCs w:val="16"/>
              </w:rPr>
            </w:pP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节能环保支出</w:t>
            </w:r>
          </w:p>
        </w:tc>
        <w:tc>
          <w:tcPr>
            <w:tcW w:w="2040" w:type="dxa"/>
            <w:vAlign w:val="center"/>
          </w:tcPr>
          <w:p>
            <w:pPr>
              <w:jc w:val="left"/>
            </w:pPr>
          </w:p>
        </w:tc>
        <w:tc>
          <w:tcPr>
            <w:tcW w:w="1033" w:type="dxa"/>
            <w:vAlign w:val="center"/>
          </w:tcPr>
          <w:p>
            <w:pPr>
              <w:jc w:val="right"/>
            </w:pPr>
            <w:r>
              <w:rPr>
                <w:rFonts w:hint="eastAsia" w:ascii="仿宋_GB2312" w:eastAsia="仿宋_GB2312"/>
                <w:color w:val="auto"/>
                <w:sz w:val="20"/>
                <w:szCs w:val="20"/>
                <w:highlight w:val="none"/>
                <w:lang w:val="en-US" w:eastAsia="zh-CN"/>
              </w:rPr>
              <w:t>765.00</w:t>
            </w:r>
          </w:p>
        </w:tc>
        <w:tc>
          <w:tcPr>
            <w:tcW w:w="1020"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765.00</w:t>
            </w:r>
          </w:p>
        </w:tc>
        <w:tc>
          <w:tcPr>
            <w:tcW w:w="840"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570.90</w:t>
            </w:r>
          </w:p>
        </w:tc>
        <w:tc>
          <w:tcPr>
            <w:tcW w:w="975" w:type="dxa"/>
            <w:vAlign w:val="center"/>
          </w:tcPr>
          <w:p>
            <w:pPr>
              <w:jc w:val="right"/>
            </w:pPr>
            <w:r>
              <w:rPr>
                <w:rFonts w:hint="eastAsia" w:ascii="仿宋_GB2312" w:eastAsia="仿宋_GB2312"/>
                <w:color w:val="auto"/>
                <w:sz w:val="20"/>
                <w:szCs w:val="20"/>
                <w:highlight w:val="none"/>
                <w:lang w:val="en-US" w:eastAsia="zh-CN"/>
              </w:rPr>
              <w:t>128.92</w:t>
            </w:r>
          </w:p>
        </w:tc>
        <w:tc>
          <w:tcPr>
            <w:tcW w:w="900" w:type="dxa"/>
            <w:vAlign w:val="center"/>
          </w:tcPr>
          <w:p>
            <w:pPr>
              <w:jc w:val="right"/>
              <w:rPr>
                <w:rFonts w:ascii="仿宋_GB2312" w:hAnsi="宋体" w:eastAsia="仿宋_GB2312"/>
                <w:kern w:val="0"/>
                <w:sz w:val="16"/>
                <w:szCs w:val="16"/>
              </w:rPr>
            </w:pPr>
          </w:p>
        </w:tc>
        <w:tc>
          <w:tcPr>
            <w:tcW w:w="819" w:type="dxa"/>
            <w:vAlign w:val="center"/>
          </w:tcPr>
          <w:p>
            <w:pPr>
              <w:jc w:val="right"/>
              <w:rPr>
                <w:rFonts w:ascii="仿宋_GB2312" w:hAnsi="宋体" w:eastAsia="仿宋_GB2312"/>
                <w:kern w:val="0"/>
                <w:sz w:val="16"/>
                <w:szCs w:val="16"/>
              </w:rPr>
            </w:pPr>
          </w:p>
        </w:tc>
        <w:tc>
          <w:tcPr>
            <w:tcW w:w="968" w:type="dxa"/>
            <w:gridSpan w:val="2"/>
            <w:vAlign w:val="center"/>
          </w:tcPr>
          <w:p>
            <w:pPr>
              <w:jc w:val="right"/>
            </w:pPr>
            <w:r>
              <w:rPr>
                <w:rFonts w:hint="eastAsia" w:ascii="仿宋_GB2312" w:eastAsia="仿宋_GB2312"/>
                <w:color w:val="auto"/>
                <w:sz w:val="20"/>
                <w:szCs w:val="20"/>
                <w:highlight w:val="none"/>
                <w:lang w:val="en-US" w:eastAsia="zh-CN"/>
              </w:rPr>
              <w:t>3.92</w:t>
            </w:r>
          </w:p>
        </w:tc>
        <w:tc>
          <w:tcPr>
            <w:tcW w:w="730"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61.26</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868"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rPr>
            </w:pP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天然林保护</w:t>
            </w:r>
          </w:p>
        </w:tc>
        <w:tc>
          <w:tcPr>
            <w:tcW w:w="2040" w:type="dxa"/>
            <w:vAlign w:val="center"/>
          </w:tcPr>
          <w:p>
            <w:pPr>
              <w:jc w:val="left"/>
            </w:pPr>
          </w:p>
        </w:tc>
        <w:tc>
          <w:tcPr>
            <w:tcW w:w="1033" w:type="dxa"/>
            <w:vAlign w:val="center"/>
          </w:tcPr>
          <w:p>
            <w:pPr>
              <w:jc w:val="right"/>
            </w:pPr>
            <w:r>
              <w:rPr>
                <w:rFonts w:hint="eastAsia" w:ascii="仿宋_GB2312" w:eastAsia="仿宋_GB2312"/>
                <w:color w:val="auto"/>
                <w:sz w:val="20"/>
                <w:szCs w:val="20"/>
                <w:highlight w:val="none"/>
                <w:lang w:val="en-US" w:eastAsia="zh-CN"/>
              </w:rPr>
              <w:t>765.00</w:t>
            </w:r>
          </w:p>
        </w:tc>
        <w:tc>
          <w:tcPr>
            <w:tcW w:w="1020" w:type="dxa"/>
            <w:vAlign w:val="center"/>
          </w:tcPr>
          <w:p>
            <w:pPr>
              <w:jc w:val="right"/>
              <w:rPr>
                <w:rFonts w:ascii="仿宋_GB2312" w:hAnsi="宋体" w:eastAsia="仿宋_GB2312" w:cs="宋体"/>
                <w:kern w:val="0"/>
                <w:sz w:val="16"/>
                <w:szCs w:val="16"/>
              </w:rPr>
            </w:pPr>
            <w:r>
              <w:rPr>
                <w:rFonts w:hint="eastAsia" w:ascii="仿宋_GB2312" w:eastAsia="仿宋_GB2312"/>
                <w:color w:val="auto"/>
                <w:sz w:val="20"/>
                <w:szCs w:val="20"/>
                <w:highlight w:val="none"/>
                <w:lang w:val="en-US" w:eastAsia="zh-CN"/>
              </w:rPr>
              <w:t>765.00</w:t>
            </w:r>
          </w:p>
        </w:tc>
        <w:tc>
          <w:tcPr>
            <w:tcW w:w="840"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570.90</w:t>
            </w:r>
          </w:p>
        </w:tc>
        <w:tc>
          <w:tcPr>
            <w:tcW w:w="975" w:type="dxa"/>
            <w:vAlign w:val="center"/>
          </w:tcPr>
          <w:p>
            <w:pPr>
              <w:jc w:val="right"/>
            </w:pPr>
            <w:r>
              <w:rPr>
                <w:rFonts w:hint="eastAsia" w:ascii="仿宋_GB2312" w:eastAsia="仿宋_GB2312"/>
                <w:color w:val="auto"/>
                <w:sz w:val="20"/>
                <w:szCs w:val="20"/>
                <w:highlight w:val="none"/>
                <w:lang w:val="en-US" w:eastAsia="zh-CN"/>
              </w:rPr>
              <w:t>128.92</w:t>
            </w:r>
          </w:p>
        </w:tc>
        <w:tc>
          <w:tcPr>
            <w:tcW w:w="900" w:type="dxa"/>
            <w:vAlign w:val="center"/>
          </w:tcPr>
          <w:p>
            <w:pPr>
              <w:jc w:val="right"/>
              <w:rPr>
                <w:rFonts w:ascii="仿宋_GB2312" w:hAnsi="宋体" w:eastAsia="仿宋_GB2312"/>
                <w:kern w:val="0"/>
                <w:sz w:val="16"/>
                <w:szCs w:val="16"/>
              </w:rPr>
            </w:pPr>
          </w:p>
        </w:tc>
        <w:tc>
          <w:tcPr>
            <w:tcW w:w="819" w:type="dxa"/>
            <w:vAlign w:val="center"/>
          </w:tcPr>
          <w:p>
            <w:pPr>
              <w:jc w:val="right"/>
              <w:rPr>
                <w:rFonts w:ascii="仿宋_GB2312" w:hAnsi="宋体" w:eastAsia="仿宋_GB2312"/>
                <w:kern w:val="0"/>
                <w:sz w:val="16"/>
                <w:szCs w:val="16"/>
              </w:rPr>
            </w:pPr>
          </w:p>
        </w:tc>
        <w:tc>
          <w:tcPr>
            <w:tcW w:w="968" w:type="dxa"/>
            <w:gridSpan w:val="2"/>
            <w:vAlign w:val="center"/>
          </w:tcPr>
          <w:p>
            <w:pPr>
              <w:jc w:val="right"/>
            </w:pPr>
            <w:r>
              <w:rPr>
                <w:rFonts w:hint="eastAsia" w:ascii="仿宋_GB2312" w:eastAsia="仿宋_GB2312"/>
                <w:color w:val="auto"/>
                <w:sz w:val="20"/>
                <w:szCs w:val="20"/>
                <w:highlight w:val="none"/>
                <w:lang w:val="en-US" w:eastAsia="zh-CN"/>
              </w:rPr>
              <w:t>3.92</w:t>
            </w:r>
          </w:p>
        </w:tc>
        <w:tc>
          <w:tcPr>
            <w:tcW w:w="730"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61.26</w:t>
            </w: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868"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关于提前下达2024年中央林业草原生态保护恢复资金的通知+哈市财建（2023）89号（森林保护修复项目-森林防火）</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20.00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20.00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16.08</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r>
              <w:rPr>
                <w:rFonts w:hint="eastAsia" w:ascii="仿宋_GB2312" w:eastAsia="仿宋_GB2312"/>
                <w:color w:val="auto"/>
                <w:sz w:val="20"/>
                <w:szCs w:val="20"/>
                <w:highlight w:val="none"/>
                <w:lang w:val="en-US" w:eastAsia="zh-CN"/>
              </w:rPr>
              <w:t>3.92</w:t>
            </w: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9.60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9.60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9.60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jc w:val="right"/>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8.50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8.50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8.50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61.26</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61.26</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61.26</w:t>
            </w: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10.54</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10.54</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10.54</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0.80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0.80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0.80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8.78</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8.78</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8.78</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关于提前下达2024年中央林业草原生态保护恢复资金的通知+哈市财建（2023）89号（森林保护修复项目-林业有害生物防治）</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40.00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40.00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40.00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13.20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13.20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13.20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0.87</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0.87</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0.87</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8.75</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8.75</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8.75</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570.90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570.90</w:t>
            </w:r>
          </w:p>
        </w:tc>
        <w:tc>
          <w:tcPr>
            <w:tcW w:w="84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570.90</w:t>
            </w: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211</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05</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01</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森林管护</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关于提前下达2024年中央林业草原生态保护恢复资金的通知+哈市财建（2023）89号（森林保护修复项目-国家级公益林区）</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11.80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11.80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11.80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p>
        </w:tc>
        <w:tc>
          <w:tcPr>
            <w:tcW w:w="495" w:type="dxa"/>
            <w:vAlign w:val="center"/>
          </w:tcPr>
          <w:p>
            <w:pPr>
              <w:jc w:val="left"/>
              <w:rPr>
                <w:rFonts w:ascii="仿宋_GB2312" w:hAnsi="宋体" w:eastAsia="仿宋_GB2312"/>
                <w:kern w:val="0"/>
                <w:sz w:val="16"/>
                <w:szCs w:val="16"/>
                <w:highlight w:val="none"/>
              </w:rPr>
            </w:pP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农林水支出</w:t>
            </w:r>
          </w:p>
        </w:tc>
        <w:tc>
          <w:tcPr>
            <w:tcW w:w="2040" w:type="dxa"/>
            <w:vAlign w:val="center"/>
          </w:tcPr>
          <w:p>
            <w:pPr>
              <w:jc w:val="left"/>
              <w:rPr>
                <w:highlight w:val="none"/>
              </w:rPr>
            </w:pP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493.27</w:t>
            </w:r>
          </w:p>
        </w:tc>
        <w:tc>
          <w:tcPr>
            <w:tcW w:w="1020" w:type="dxa"/>
            <w:vAlign w:val="center"/>
          </w:tcPr>
          <w:p>
            <w:pPr>
              <w:jc w:val="right"/>
              <w:rPr>
                <w:rFonts w:hint="default" w:ascii="仿宋_GB2312" w:hAnsi="宋体" w:eastAsia="仿宋_GB2312" w:cs="宋体"/>
                <w:kern w:val="0"/>
                <w:sz w:val="16"/>
                <w:szCs w:val="16"/>
                <w:highlight w:val="none"/>
                <w:lang w:val="en-US"/>
              </w:rPr>
            </w:pPr>
            <w:r>
              <w:rPr>
                <w:rFonts w:hint="eastAsia" w:ascii="仿宋_GB2312" w:eastAsia="仿宋_GB2312"/>
                <w:color w:val="auto"/>
                <w:sz w:val="20"/>
                <w:szCs w:val="20"/>
                <w:highlight w:val="none"/>
                <w:lang w:val="en-US" w:eastAsia="zh-CN"/>
              </w:rPr>
              <w:t>1302.07</w:t>
            </w:r>
          </w:p>
        </w:tc>
        <w:tc>
          <w:tcPr>
            <w:tcW w:w="84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55.80</w:t>
            </w:r>
          </w:p>
        </w:tc>
        <w:tc>
          <w:tcPr>
            <w:tcW w:w="975" w:type="dxa"/>
            <w:vAlign w:val="center"/>
          </w:tcPr>
          <w:p>
            <w:pPr>
              <w:jc w:val="right"/>
              <w:rPr>
                <w:rFonts w:hint="default"/>
                <w:highlight w:val="none"/>
                <w:lang w:val="en-US"/>
              </w:rPr>
            </w:pPr>
            <w:r>
              <w:rPr>
                <w:rFonts w:hint="eastAsia" w:ascii="仿宋_GB2312" w:eastAsia="仿宋_GB2312"/>
                <w:color w:val="auto"/>
                <w:sz w:val="20"/>
                <w:szCs w:val="20"/>
                <w:highlight w:val="none"/>
                <w:lang w:val="en-US" w:eastAsia="zh-CN"/>
              </w:rPr>
              <w:t>1117</w:t>
            </w:r>
          </w:p>
        </w:tc>
        <w:tc>
          <w:tcPr>
            <w:tcW w:w="90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125.47</w:t>
            </w: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r>
              <w:rPr>
                <w:rFonts w:hint="eastAsia" w:ascii="仿宋_GB2312" w:eastAsia="仿宋_GB2312"/>
                <w:color w:val="auto"/>
                <w:sz w:val="20"/>
                <w:szCs w:val="20"/>
                <w:highlight w:val="none"/>
                <w:lang w:val="en-US" w:eastAsia="zh-CN"/>
              </w:rPr>
              <w:t>3.80</w:t>
            </w: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林业和草原</w:t>
            </w:r>
          </w:p>
        </w:tc>
        <w:tc>
          <w:tcPr>
            <w:tcW w:w="2040" w:type="dxa"/>
            <w:vAlign w:val="center"/>
          </w:tcPr>
          <w:p>
            <w:pPr>
              <w:jc w:val="left"/>
              <w:rPr>
                <w:highlight w:val="none"/>
              </w:rPr>
            </w:pP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493.27</w:t>
            </w:r>
          </w:p>
        </w:tc>
        <w:tc>
          <w:tcPr>
            <w:tcW w:w="1020" w:type="dxa"/>
            <w:vAlign w:val="center"/>
          </w:tcPr>
          <w:p>
            <w:pPr>
              <w:jc w:val="right"/>
              <w:rPr>
                <w:rFonts w:hint="default" w:ascii="仿宋_GB2312" w:hAnsi="宋体" w:eastAsia="仿宋_GB2312" w:cs="宋体"/>
                <w:kern w:val="0"/>
                <w:sz w:val="16"/>
                <w:szCs w:val="16"/>
                <w:highlight w:val="none"/>
                <w:lang w:val="en-US"/>
              </w:rPr>
            </w:pPr>
            <w:r>
              <w:rPr>
                <w:rFonts w:hint="eastAsia" w:ascii="仿宋_GB2312" w:eastAsia="仿宋_GB2312"/>
                <w:color w:val="auto"/>
                <w:sz w:val="20"/>
                <w:szCs w:val="20"/>
                <w:highlight w:val="none"/>
                <w:lang w:val="en-US" w:eastAsia="zh-CN"/>
              </w:rPr>
              <w:t>1302.07</w:t>
            </w:r>
          </w:p>
        </w:tc>
        <w:tc>
          <w:tcPr>
            <w:tcW w:w="84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55.80</w:t>
            </w:r>
          </w:p>
        </w:tc>
        <w:tc>
          <w:tcPr>
            <w:tcW w:w="975" w:type="dxa"/>
            <w:vAlign w:val="center"/>
          </w:tcPr>
          <w:p>
            <w:pPr>
              <w:jc w:val="right"/>
              <w:rPr>
                <w:rFonts w:hint="default"/>
                <w:highlight w:val="none"/>
                <w:lang w:val="en-US"/>
              </w:rPr>
            </w:pPr>
            <w:r>
              <w:rPr>
                <w:rFonts w:hint="eastAsia" w:ascii="仿宋_GB2312" w:eastAsia="仿宋_GB2312"/>
                <w:color w:val="auto"/>
                <w:sz w:val="20"/>
                <w:szCs w:val="20"/>
                <w:highlight w:val="none"/>
                <w:lang w:val="en-US" w:eastAsia="zh-CN"/>
              </w:rPr>
              <w:t>1117</w:t>
            </w:r>
          </w:p>
        </w:tc>
        <w:tc>
          <w:tcPr>
            <w:tcW w:w="90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125.47</w:t>
            </w: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r>
              <w:rPr>
                <w:rFonts w:hint="eastAsia" w:ascii="仿宋_GB2312" w:eastAsia="仿宋_GB2312"/>
                <w:color w:val="auto"/>
                <w:sz w:val="20"/>
                <w:szCs w:val="20"/>
                <w:highlight w:val="none"/>
                <w:lang w:val="en-US" w:eastAsia="zh-CN"/>
              </w:rPr>
              <w:t>3.80</w:t>
            </w: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default" w:ascii="仿宋_GB2312" w:hAnsi="宋体" w:eastAsia="仿宋_GB2312"/>
                <w:kern w:val="0"/>
                <w:sz w:val="16"/>
                <w:szCs w:val="16"/>
                <w:highlight w:val="none"/>
                <w:lang w:val="en-US"/>
              </w:rPr>
            </w:pPr>
            <w:r>
              <w:rPr>
                <w:rFonts w:hint="eastAsia" w:ascii="仿宋_GB2312" w:hAnsi="宋体" w:eastAsia="仿宋_GB2312"/>
                <w:kern w:val="0"/>
                <w:sz w:val="16"/>
                <w:szCs w:val="16"/>
                <w:highlight w:val="none"/>
                <w:lang w:val="en-US" w:eastAsia="zh-CN"/>
              </w:rPr>
              <w:t>05</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森林资源培育</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古树名木保护专项经费</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1020"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w:t>
            </w:r>
          </w:p>
        </w:tc>
        <w:tc>
          <w:tcPr>
            <w:tcW w:w="900" w:type="dxa"/>
            <w:vAlign w:val="center"/>
          </w:tcPr>
          <w:p>
            <w:pPr>
              <w:jc w:val="right"/>
              <w:rPr>
                <w:rFonts w:hint="eastAsia" w:ascii="仿宋_GB2312" w:eastAsia="仿宋_GB2312"/>
                <w:color w:val="auto"/>
                <w:sz w:val="20"/>
                <w:szCs w:val="20"/>
                <w:highlight w:val="none"/>
                <w:lang w:val="en-US" w:eastAsia="zh-CN"/>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rFonts w:hint="eastAsia" w:ascii="仿宋_GB2312" w:eastAsia="仿宋_GB2312"/>
                <w:color w:val="auto"/>
                <w:sz w:val="20"/>
                <w:szCs w:val="20"/>
                <w:highlight w:val="none"/>
                <w:lang w:val="en-US" w:eastAsia="zh-CN"/>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default"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11</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动植物保护</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2024年野生动物保护工作经费</w:t>
            </w:r>
          </w:p>
        </w:tc>
        <w:tc>
          <w:tcPr>
            <w:tcW w:w="1033"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900" w:type="dxa"/>
            <w:vAlign w:val="center"/>
          </w:tcPr>
          <w:p>
            <w:pPr>
              <w:jc w:val="right"/>
              <w:rPr>
                <w:rFonts w:hint="eastAsia" w:ascii="仿宋_GB2312" w:eastAsia="仿宋_GB2312"/>
                <w:color w:val="auto"/>
                <w:sz w:val="20"/>
                <w:szCs w:val="20"/>
                <w:highlight w:val="none"/>
                <w:lang w:val="en-US" w:eastAsia="zh-CN"/>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rFonts w:hint="eastAsia" w:ascii="仿宋_GB2312" w:eastAsia="仿宋_GB2312"/>
                <w:color w:val="auto"/>
                <w:sz w:val="20"/>
                <w:szCs w:val="20"/>
                <w:highlight w:val="none"/>
                <w:lang w:val="en-US" w:eastAsia="zh-CN"/>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34</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林业草原防灾减灾</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关于提前下达2024年中央林业草原改革发展资金预算的通知+哈市财建【2023】90号（草原有害生物防治项目）</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24.00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24.00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24.00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34</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林业草原防灾减灾</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关于提前下达2024年中央林业草原改革发展资金预算的通知+哈市财建【2023】90号（国家级中心测报点运行经费）</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3.00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3.00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3.00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林业草原防灾减灾</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2024年伊州区“枣树一号病”飞机防治</w:t>
            </w:r>
          </w:p>
        </w:tc>
        <w:tc>
          <w:tcPr>
            <w:tcW w:w="1033"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1020"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34</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林业草原防灾减灾</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伊州区林业有害生物防治专项经费</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0.00</w:t>
            </w:r>
          </w:p>
        </w:tc>
        <w:tc>
          <w:tcPr>
            <w:tcW w:w="1020"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36</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草原管理</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关于提前下达2024年自治区林草专项资金预算的通知+哈市财建【2023】88号（草原植被恢复费支出-草原资源和有害生物常规检测项目）</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8.00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8.00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7.20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r>
              <w:rPr>
                <w:rFonts w:hint="eastAsia" w:ascii="仿宋_GB2312" w:eastAsia="仿宋_GB2312"/>
                <w:color w:val="auto"/>
                <w:sz w:val="20"/>
                <w:szCs w:val="20"/>
                <w:highlight w:val="none"/>
                <w:lang w:val="en-US" w:eastAsia="zh-CN"/>
              </w:rPr>
              <w:t>0.80</w:t>
            </w: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36</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草原管理</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关于提前下达2024年自治区林草专项资金预算的通知+哈市财建【2023】88号（草原植被恢复费支出-禁牧和草畜平衡管理补助项目）</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5.00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5.00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2.00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r>
              <w:rPr>
                <w:rFonts w:hint="eastAsia" w:ascii="仿宋_GB2312" w:eastAsia="仿宋_GB2312"/>
                <w:color w:val="auto"/>
                <w:sz w:val="20"/>
                <w:szCs w:val="20"/>
                <w:highlight w:val="none"/>
                <w:lang w:val="en-US" w:eastAsia="zh-CN"/>
              </w:rPr>
              <w:t>3.00</w:t>
            </w: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38</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退耕还林还草</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关于提前下达2024年中央林业草原改革发展资金预算的通知+哈市财建【2023】90号（前一轮退耕还生态林抚育）</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31.77</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31.77</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31.77</w:t>
            </w: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38</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退耕还林还草</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关于提前下达2024年中央林业草原改革发展资金预算的通知+哈市财建【2023】90号（新一轮退耕还林延长补助）</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93.70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93.70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93.70</w:t>
            </w: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关于提前下达2024年自治区林草专项资金预算的通知+哈市财建【2023】88号（森林植被恢复费-重大林业有害生物综合防治补助项目）</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50.00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50.00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50.00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关于提前下达2024年自治区林草专项资金预算的通知+哈市财建【2023】88号（森林植被恢复费-瑞农公司葡萄设施栽培高标准示范园建设）</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32.00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32.00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32.00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关于提前下达2024年自治区林草专项资金预算的通知+哈市财建【2023】88号（森林植被恢复费-五堡示范园建设）</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45.00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45.00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45.00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关于提前下达2024年自治区林草专项资金预算的通知+哈市财建【2023】88号（新疆王液产加销一体化建设项目）</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100.00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100.00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100.00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关于提前下达2024年自治区林草专项资金预算的通知+哈市财建【2023】88号（森林植被恢复费-陶家宫示范园建设）</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45.00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45.00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r>
              <w:rPr>
                <w:rFonts w:hint="eastAsia" w:ascii="仿宋_GB2312" w:eastAsia="仿宋_GB2312"/>
                <w:color w:val="auto"/>
                <w:sz w:val="20"/>
                <w:szCs w:val="20"/>
                <w:highlight w:val="none"/>
                <w:lang w:val="en-US" w:eastAsia="zh-CN"/>
              </w:rPr>
              <w:t>45.00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特定类-2024年草原禁牧管护员工资</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55.80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55.80</w:t>
            </w:r>
          </w:p>
        </w:tc>
        <w:tc>
          <w:tcPr>
            <w:tcW w:w="840"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55.80</w:t>
            </w: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2024年春季造林苗木费</w:t>
            </w:r>
          </w:p>
        </w:tc>
        <w:tc>
          <w:tcPr>
            <w:tcW w:w="1033"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18.80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default" w:eastAsiaTheme="minorEastAsia"/>
                <w:highlight w:val="none"/>
                <w:lang w:val="en-US" w:eastAsia="zh-CN"/>
              </w:rPr>
            </w:pPr>
            <w:r>
              <w:rPr>
                <w:rFonts w:hint="eastAsia" w:ascii="仿宋_GB2312" w:eastAsia="仿宋_GB2312"/>
                <w:color w:val="auto"/>
                <w:sz w:val="20"/>
                <w:szCs w:val="20"/>
                <w:highlight w:val="none"/>
                <w:lang w:val="en-US" w:eastAsia="zh-CN"/>
              </w:rPr>
              <w:t>18.80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国省道防护林管护费</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林地、草地、湿地图斑核查费用</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林长制工作专项运行经费</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伊州区林草局森林草原违法违规野外用火举报奖励</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213</w:t>
            </w:r>
          </w:p>
        </w:tc>
        <w:tc>
          <w:tcPr>
            <w:tcW w:w="51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9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1247"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其他林业和草原支出</w:t>
            </w:r>
          </w:p>
        </w:tc>
        <w:tc>
          <w:tcPr>
            <w:tcW w:w="204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项目前期及规划编制费用</w:t>
            </w:r>
          </w:p>
        </w:tc>
        <w:tc>
          <w:tcPr>
            <w:tcW w:w="1033"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840" w:type="dxa"/>
            <w:vAlign w:val="center"/>
          </w:tcPr>
          <w:p>
            <w:pPr>
              <w:jc w:val="right"/>
              <w:rPr>
                <w:rFonts w:hint="eastAsia" w:ascii="仿宋_GB2312" w:eastAsia="仿宋_GB2312"/>
                <w:color w:val="auto"/>
                <w:sz w:val="20"/>
                <w:szCs w:val="20"/>
                <w:highlight w:val="none"/>
                <w:lang w:val="en-US" w:eastAsia="zh-CN"/>
              </w:rPr>
            </w:pPr>
          </w:p>
        </w:tc>
        <w:tc>
          <w:tcPr>
            <w:tcW w:w="9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200.00</w:t>
            </w: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232</w:t>
            </w:r>
          </w:p>
        </w:tc>
        <w:tc>
          <w:tcPr>
            <w:tcW w:w="510" w:type="dxa"/>
            <w:vAlign w:val="center"/>
          </w:tcPr>
          <w:p>
            <w:pPr>
              <w:jc w:val="left"/>
              <w:rPr>
                <w:rFonts w:ascii="仿宋_GB2312" w:hAnsi="宋体" w:eastAsia="仿宋_GB2312"/>
                <w:kern w:val="0"/>
                <w:sz w:val="16"/>
                <w:szCs w:val="16"/>
                <w:highlight w:val="none"/>
              </w:rPr>
            </w:pPr>
          </w:p>
        </w:tc>
        <w:tc>
          <w:tcPr>
            <w:tcW w:w="495" w:type="dxa"/>
            <w:vAlign w:val="center"/>
          </w:tcPr>
          <w:p>
            <w:pPr>
              <w:jc w:val="left"/>
              <w:rPr>
                <w:rFonts w:ascii="仿宋_GB2312" w:hAnsi="宋体" w:eastAsia="仿宋_GB2312"/>
                <w:kern w:val="0"/>
                <w:sz w:val="16"/>
                <w:szCs w:val="16"/>
                <w:highlight w:val="none"/>
              </w:rPr>
            </w:pP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债务付息支出</w:t>
            </w:r>
          </w:p>
        </w:tc>
        <w:tc>
          <w:tcPr>
            <w:tcW w:w="2040" w:type="dxa"/>
            <w:vAlign w:val="center"/>
          </w:tcPr>
          <w:p>
            <w:pPr>
              <w:jc w:val="left"/>
              <w:rPr>
                <w:highlight w:val="none"/>
              </w:rPr>
            </w:pP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180.00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180.00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180.00</w:t>
            </w: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232</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03</w:t>
            </w:r>
          </w:p>
        </w:tc>
        <w:tc>
          <w:tcPr>
            <w:tcW w:w="495" w:type="dxa"/>
            <w:vAlign w:val="center"/>
          </w:tcPr>
          <w:p>
            <w:pPr>
              <w:jc w:val="left"/>
              <w:rPr>
                <w:rFonts w:ascii="仿宋_GB2312" w:hAnsi="宋体" w:eastAsia="仿宋_GB2312"/>
                <w:kern w:val="0"/>
                <w:sz w:val="16"/>
                <w:szCs w:val="16"/>
                <w:highlight w:val="none"/>
              </w:rPr>
            </w:pP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地方政府一般债务付息支出</w:t>
            </w:r>
          </w:p>
        </w:tc>
        <w:tc>
          <w:tcPr>
            <w:tcW w:w="2040" w:type="dxa"/>
            <w:vAlign w:val="center"/>
          </w:tcPr>
          <w:p>
            <w:pPr>
              <w:jc w:val="left"/>
              <w:rPr>
                <w:highlight w:val="none"/>
              </w:rPr>
            </w:pP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180.00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180.00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180.00</w:t>
            </w: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232</w:t>
            </w:r>
          </w:p>
        </w:tc>
        <w:tc>
          <w:tcPr>
            <w:tcW w:w="510"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03</w:t>
            </w:r>
          </w:p>
        </w:tc>
        <w:tc>
          <w:tcPr>
            <w:tcW w:w="495" w:type="dxa"/>
            <w:vAlign w:val="center"/>
          </w:tcPr>
          <w:p>
            <w:pPr>
              <w:jc w:val="lef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03</w:t>
            </w:r>
          </w:p>
        </w:tc>
        <w:tc>
          <w:tcPr>
            <w:tcW w:w="1247" w:type="dxa"/>
            <w:vAlign w:val="center"/>
          </w:tcPr>
          <w:p>
            <w:pPr>
              <w:jc w:val="left"/>
              <w:rPr>
                <w:rFonts w:hint="eastAsia" w:ascii="仿宋_GB2312" w:hAnsi="宋体" w:eastAsia="仿宋_GB2312" w:cs="仿宋_GB2312"/>
                <w:i w:val="0"/>
                <w:color w:val="000000"/>
                <w:kern w:val="0"/>
                <w:sz w:val="20"/>
                <w:szCs w:val="20"/>
                <w:highlight w:val="none"/>
                <w:u w:val="none"/>
                <w:lang w:val="en-US" w:eastAsia="zh-CN" w:bidi="ar"/>
              </w:rPr>
            </w:pPr>
            <w:r>
              <w:rPr>
                <w:rFonts w:hint="eastAsia" w:ascii="仿宋_GB2312" w:eastAsia="仿宋_GB2312"/>
                <w:color w:val="auto"/>
                <w:sz w:val="20"/>
                <w:szCs w:val="20"/>
                <w:highlight w:val="none"/>
                <w:lang w:val="en-US" w:eastAsia="zh-CN"/>
              </w:rPr>
              <w:t>地方政府向国际组织借款付息支出</w:t>
            </w:r>
          </w:p>
        </w:tc>
        <w:tc>
          <w:tcPr>
            <w:tcW w:w="2040" w:type="dxa"/>
            <w:vAlign w:val="center"/>
          </w:tcPr>
          <w:p>
            <w:pPr>
              <w:jc w:val="left"/>
              <w:rPr>
                <w:highlight w:val="none"/>
              </w:rPr>
            </w:pPr>
            <w:r>
              <w:rPr>
                <w:rFonts w:hint="eastAsia" w:ascii="仿宋_GB2312" w:eastAsia="仿宋_GB2312"/>
                <w:color w:val="auto"/>
                <w:sz w:val="20"/>
                <w:szCs w:val="20"/>
                <w:highlight w:val="none"/>
                <w:lang w:val="en-US" w:eastAsia="zh-CN"/>
              </w:rPr>
              <w:t>亚行林业生态发展项目</w:t>
            </w:r>
          </w:p>
        </w:tc>
        <w:tc>
          <w:tcPr>
            <w:tcW w:w="1033" w:type="dxa"/>
            <w:vAlign w:val="center"/>
          </w:tcPr>
          <w:p>
            <w:pPr>
              <w:jc w:val="right"/>
              <w:rPr>
                <w:highlight w:val="none"/>
              </w:rPr>
            </w:pPr>
            <w:r>
              <w:rPr>
                <w:rFonts w:hint="eastAsia" w:ascii="仿宋_GB2312" w:eastAsia="仿宋_GB2312"/>
                <w:color w:val="auto"/>
                <w:sz w:val="20"/>
                <w:szCs w:val="20"/>
                <w:highlight w:val="none"/>
                <w:lang w:val="en-US" w:eastAsia="zh-CN"/>
              </w:rPr>
              <w:t>180.00</w:t>
            </w:r>
          </w:p>
        </w:tc>
        <w:tc>
          <w:tcPr>
            <w:tcW w:w="1020" w:type="dxa"/>
            <w:vAlign w:val="center"/>
          </w:tcPr>
          <w:p>
            <w:pPr>
              <w:jc w:val="right"/>
              <w:rPr>
                <w:rFonts w:ascii="仿宋_GB2312" w:hAnsi="宋体" w:eastAsia="仿宋_GB2312" w:cs="宋体"/>
                <w:kern w:val="0"/>
                <w:sz w:val="16"/>
                <w:szCs w:val="16"/>
                <w:highlight w:val="none"/>
              </w:rPr>
            </w:pPr>
            <w:r>
              <w:rPr>
                <w:rFonts w:hint="eastAsia" w:ascii="仿宋_GB2312" w:eastAsia="仿宋_GB2312"/>
                <w:color w:val="auto"/>
                <w:sz w:val="20"/>
                <w:szCs w:val="20"/>
                <w:highlight w:val="none"/>
                <w:lang w:val="en-US" w:eastAsia="zh-CN"/>
              </w:rPr>
              <w:t>180.00</w:t>
            </w:r>
          </w:p>
        </w:tc>
        <w:tc>
          <w:tcPr>
            <w:tcW w:w="840" w:type="dxa"/>
            <w:vAlign w:val="center"/>
          </w:tcPr>
          <w:p>
            <w:pPr>
              <w:jc w:val="right"/>
              <w:rPr>
                <w:rFonts w:ascii="仿宋_GB2312" w:hAnsi="宋体" w:eastAsia="仿宋_GB2312"/>
                <w:kern w:val="0"/>
                <w:sz w:val="16"/>
                <w:szCs w:val="16"/>
                <w:highlight w:val="none"/>
              </w:rPr>
            </w:pPr>
          </w:p>
        </w:tc>
        <w:tc>
          <w:tcPr>
            <w:tcW w:w="975" w:type="dxa"/>
            <w:vAlign w:val="center"/>
          </w:tcPr>
          <w:p>
            <w:pPr>
              <w:jc w:val="right"/>
              <w:rPr>
                <w:highlight w:val="none"/>
              </w:rPr>
            </w:pPr>
          </w:p>
        </w:tc>
        <w:tc>
          <w:tcPr>
            <w:tcW w:w="900" w:type="dxa"/>
            <w:vAlign w:val="center"/>
          </w:tcPr>
          <w:p>
            <w:pPr>
              <w:jc w:val="right"/>
              <w:rPr>
                <w:rFonts w:ascii="仿宋_GB2312" w:hAnsi="宋体" w:eastAsia="仿宋_GB2312"/>
                <w:kern w:val="0"/>
                <w:sz w:val="16"/>
                <w:szCs w:val="16"/>
                <w:highlight w:val="none"/>
              </w:rPr>
            </w:pPr>
          </w:p>
        </w:tc>
        <w:tc>
          <w:tcPr>
            <w:tcW w:w="819" w:type="dxa"/>
            <w:vAlign w:val="center"/>
          </w:tcPr>
          <w:p>
            <w:pPr>
              <w:jc w:val="right"/>
              <w:rPr>
                <w:rFonts w:ascii="仿宋_GB2312" w:hAnsi="宋体" w:eastAsia="仿宋_GB2312"/>
                <w:kern w:val="0"/>
                <w:sz w:val="16"/>
                <w:szCs w:val="16"/>
                <w:highlight w:val="none"/>
              </w:rPr>
            </w:pPr>
            <w:r>
              <w:rPr>
                <w:rFonts w:hint="eastAsia" w:ascii="仿宋_GB2312" w:eastAsia="仿宋_GB2312"/>
                <w:color w:val="auto"/>
                <w:sz w:val="20"/>
                <w:szCs w:val="20"/>
                <w:highlight w:val="none"/>
                <w:lang w:val="en-US" w:eastAsia="zh-CN"/>
              </w:rPr>
              <w:t>180.00</w:t>
            </w:r>
          </w:p>
        </w:tc>
        <w:tc>
          <w:tcPr>
            <w:tcW w:w="968" w:type="dxa"/>
            <w:gridSpan w:val="2"/>
            <w:vAlign w:val="center"/>
          </w:tcPr>
          <w:p>
            <w:pPr>
              <w:jc w:val="right"/>
              <w:rPr>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0" w:type="dxa"/>
            <w:vAlign w:val="center"/>
          </w:tcPr>
          <w:p>
            <w:pPr>
              <w:jc w:val="right"/>
              <w:rPr>
                <w:rFonts w:ascii="仿宋_GB2312" w:hAnsi="宋体" w:eastAsia="仿宋_GB2312"/>
                <w:kern w:val="0"/>
                <w:sz w:val="16"/>
                <w:szCs w:val="16"/>
                <w:highlight w:val="none"/>
              </w:rPr>
            </w:pPr>
          </w:p>
        </w:tc>
        <w:tc>
          <w:tcPr>
            <w:tcW w:w="731" w:type="dxa"/>
            <w:vAlign w:val="center"/>
          </w:tcPr>
          <w:p>
            <w:pPr>
              <w:jc w:val="right"/>
              <w:rPr>
                <w:rFonts w:ascii="仿宋_GB2312" w:hAnsi="宋体" w:eastAsia="仿宋_GB2312"/>
                <w:kern w:val="0"/>
                <w:sz w:val="16"/>
                <w:szCs w:val="16"/>
                <w:highlight w:val="none"/>
              </w:rPr>
            </w:pPr>
          </w:p>
        </w:tc>
        <w:tc>
          <w:tcPr>
            <w:tcW w:w="868" w:type="dxa"/>
            <w:vAlign w:val="center"/>
          </w:tcPr>
          <w:p>
            <w:pPr>
              <w:rPr>
                <w:rFonts w:ascii="仿宋_GB2312" w:hAnsi="宋体" w:eastAsia="仿宋_GB2312"/>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630" w:type="dxa"/>
            <w:vAlign w:val="center"/>
          </w:tcPr>
          <w:p>
            <w:pPr>
              <w:jc w:val="left"/>
              <w:rPr>
                <w:rFonts w:ascii="仿宋_GB2312" w:hAnsi="宋体" w:eastAsia="仿宋_GB2312"/>
                <w:kern w:val="0"/>
                <w:sz w:val="16"/>
                <w:szCs w:val="16"/>
              </w:rPr>
            </w:pPr>
          </w:p>
        </w:tc>
        <w:tc>
          <w:tcPr>
            <w:tcW w:w="510" w:type="dxa"/>
            <w:vAlign w:val="center"/>
          </w:tcPr>
          <w:p>
            <w:pPr>
              <w:jc w:val="left"/>
              <w:rPr>
                <w:rFonts w:ascii="仿宋_GB2312" w:hAnsi="宋体" w:eastAsia="仿宋_GB2312"/>
                <w:kern w:val="0"/>
                <w:sz w:val="16"/>
                <w:szCs w:val="16"/>
              </w:rPr>
            </w:pPr>
          </w:p>
        </w:tc>
        <w:tc>
          <w:tcPr>
            <w:tcW w:w="495" w:type="dxa"/>
            <w:vAlign w:val="center"/>
          </w:tcPr>
          <w:p>
            <w:pPr>
              <w:jc w:val="left"/>
              <w:rPr>
                <w:rFonts w:ascii="仿宋_GB2312" w:hAnsi="宋体" w:eastAsia="仿宋_GB2312"/>
                <w:kern w:val="0"/>
                <w:sz w:val="16"/>
                <w:szCs w:val="16"/>
              </w:rPr>
            </w:pPr>
          </w:p>
        </w:tc>
        <w:tc>
          <w:tcPr>
            <w:tcW w:w="1247"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合计</w:t>
            </w:r>
          </w:p>
        </w:tc>
        <w:tc>
          <w:tcPr>
            <w:tcW w:w="2040" w:type="dxa"/>
            <w:vAlign w:val="center"/>
          </w:tcPr>
          <w:p>
            <w:pPr>
              <w:jc w:val="left"/>
            </w:pPr>
          </w:p>
        </w:tc>
        <w:tc>
          <w:tcPr>
            <w:tcW w:w="1033" w:type="dxa"/>
            <w:vAlign w:val="center"/>
          </w:tcPr>
          <w:p>
            <w:pPr>
              <w:jc w:val="right"/>
            </w:pPr>
            <w:r>
              <w:rPr>
                <w:rFonts w:hint="eastAsia" w:ascii="仿宋_GB2312" w:eastAsia="仿宋_GB2312"/>
                <w:color w:val="auto"/>
                <w:sz w:val="20"/>
                <w:szCs w:val="20"/>
                <w:highlight w:val="none"/>
                <w:lang w:val="en-US" w:eastAsia="zh-CN"/>
              </w:rPr>
              <w:t>1,438.27</w:t>
            </w:r>
          </w:p>
        </w:tc>
        <w:tc>
          <w:tcPr>
            <w:tcW w:w="102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2247.07</w:t>
            </w:r>
          </w:p>
        </w:tc>
        <w:tc>
          <w:tcPr>
            <w:tcW w:w="84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626.70</w:t>
            </w:r>
          </w:p>
        </w:tc>
        <w:tc>
          <w:tcPr>
            <w:tcW w:w="9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1245.92</w:t>
            </w:r>
          </w:p>
        </w:tc>
        <w:tc>
          <w:tcPr>
            <w:tcW w:w="90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125.47</w:t>
            </w:r>
          </w:p>
        </w:tc>
        <w:tc>
          <w:tcPr>
            <w:tcW w:w="819"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180.00</w:t>
            </w:r>
          </w:p>
        </w:tc>
        <w:tc>
          <w:tcPr>
            <w:tcW w:w="968" w:type="dxa"/>
            <w:gridSpan w:val="2"/>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7.72</w:t>
            </w:r>
          </w:p>
        </w:tc>
        <w:tc>
          <w:tcPr>
            <w:tcW w:w="73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61.26</w:t>
            </w:r>
          </w:p>
        </w:tc>
        <w:tc>
          <w:tcPr>
            <w:tcW w:w="730" w:type="dxa"/>
            <w:vAlign w:val="center"/>
          </w:tcPr>
          <w:p>
            <w:pPr>
              <w:jc w:val="right"/>
              <w:rPr>
                <w:rFonts w:hint="eastAsia" w:ascii="仿宋_GB2312" w:hAnsi="宋体" w:eastAsia="仿宋_GB2312"/>
                <w:kern w:val="0"/>
                <w:sz w:val="16"/>
                <w:szCs w:val="16"/>
                <w:lang w:val="en-US" w:eastAsia="zh-CN"/>
              </w:rPr>
            </w:pPr>
          </w:p>
        </w:tc>
        <w:tc>
          <w:tcPr>
            <w:tcW w:w="730" w:type="dxa"/>
            <w:vAlign w:val="center"/>
          </w:tcPr>
          <w:p>
            <w:pPr>
              <w:jc w:val="right"/>
              <w:rPr>
                <w:rFonts w:hint="eastAsia" w:ascii="仿宋_GB2312" w:hAnsi="宋体" w:eastAsia="仿宋_GB2312"/>
                <w:kern w:val="0"/>
                <w:sz w:val="16"/>
                <w:szCs w:val="16"/>
                <w:lang w:val="en-US" w:eastAsia="zh-CN"/>
              </w:rPr>
            </w:pPr>
          </w:p>
        </w:tc>
        <w:tc>
          <w:tcPr>
            <w:tcW w:w="731" w:type="dxa"/>
            <w:vAlign w:val="center"/>
          </w:tcPr>
          <w:p>
            <w:pPr>
              <w:jc w:val="right"/>
              <w:rPr>
                <w:rFonts w:hint="eastAsia" w:ascii="仿宋_GB2312" w:hAnsi="宋体" w:eastAsia="仿宋_GB2312"/>
                <w:kern w:val="0"/>
                <w:sz w:val="16"/>
                <w:szCs w:val="16"/>
                <w:lang w:val="en-US" w:eastAsia="zh-CN"/>
              </w:rPr>
            </w:pPr>
          </w:p>
        </w:tc>
        <w:tc>
          <w:tcPr>
            <w:tcW w:w="868" w:type="dxa"/>
            <w:vAlign w:val="center"/>
          </w:tcPr>
          <w:p>
            <w:pPr>
              <w:jc w:val="right"/>
              <w:rPr>
                <w:rFonts w:hint="eastAsia" w:ascii="仿宋_GB2312" w:hAnsi="宋体" w:eastAsia="仿宋_GB2312"/>
                <w:kern w:val="0"/>
                <w:sz w:val="16"/>
                <w:szCs w:val="16"/>
                <w:lang w:val="en-US" w:eastAsia="zh-CN"/>
              </w:rPr>
            </w:pPr>
          </w:p>
        </w:tc>
      </w:tr>
    </w:tbl>
    <w:p>
      <w:pPr>
        <w:rPr>
          <w:rFonts w:hint="eastAsia" w:ascii="仿宋_GB2312" w:hAnsi="仿宋_GB2312" w:eastAsia="仿宋_GB2312" w:cs="仿宋_GB2312"/>
          <w:color w:val="auto"/>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83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9"/>
        <w:gridCol w:w="941"/>
        <w:gridCol w:w="58"/>
        <w:gridCol w:w="1004"/>
        <w:gridCol w:w="59"/>
        <w:gridCol w:w="690"/>
        <w:gridCol w:w="312"/>
        <w:gridCol w:w="621"/>
        <w:gridCol w:w="415"/>
        <w:gridCol w:w="112"/>
        <w:gridCol w:w="464"/>
        <w:gridCol w:w="137"/>
        <w:gridCol w:w="439"/>
        <w:gridCol w:w="602"/>
        <w:gridCol w:w="455"/>
        <w:gridCol w:w="532"/>
        <w:gridCol w:w="4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831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310" w:type="dxa"/>
            <w:gridSpan w:val="1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25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0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2024年春季造林苗木费</w:t>
            </w:r>
          </w:p>
        </w:tc>
        <w:tc>
          <w:tcPr>
            <w:tcW w:w="11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海力且木·铁木尔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w:t>
            </w:r>
          </w:p>
        </w:tc>
        <w:tc>
          <w:tcPr>
            <w:tcW w:w="1036"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0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0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255"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通过完成义务植树工作，进一步提升伊州区义务植树面积和公民义务植树积极性。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02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28"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0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3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5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5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4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植树造林面积</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&gt;=30亩</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绿化造林完成率</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植树造林活动完成及时率</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资金支付成本</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&lt;=18.80万元</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提升义务植树积极性</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新增造林绿化面积</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增加</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植树人员满意度</w:t>
            </w:r>
          </w:p>
        </w:tc>
        <w:tc>
          <w:tcPr>
            <w:tcW w:w="1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405" w:hRule="atLeast"/>
        </w:trPr>
        <w:tc>
          <w:tcPr>
            <w:tcW w:w="7897"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450" w:hRule="atLeast"/>
        </w:trPr>
        <w:tc>
          <w:tcPr>
            <w:tcW w:w="7897" w:type="dxa"/>
            <w:gridSpan w:val="1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450" w:hRule="atLeast"/>
        </w:trPr>
        <w:tc>
          <w:tcPr>
            <w:tcW w:w="19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59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450" w:hRule="atLeast"/>
        </w:trPr>
        <w:tc>
          <w:tcPr>
            <w:tcW w:w="19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7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2024年野生动物保护工作经费</w:t>
            </w:r>
          </w:p>
        </w:tc>
        <w:tc>
          <w:tcPr>
            <w:tcW w:w="11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马合木提·赛都拉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450" w:hRule="atLeast"/>
        </w:trPr>
        <w:tc>
          <w:tcPr>
            <w:tcW w:w="19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33"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840" w:hRule="atLeast"/>
        </w:trPr>
        <w:tc>
          <w:tcPr>
            <w:tcW w:w="199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5900" w:type="dxa"/>
            <w:gridSpan w:val="14"/>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通过将草料投放至伊州区范围内有野生动物出现的五个乡镇，最大限度的减少寒冬天气对野生动物造成的伤害，保障野生动物顺利过冬。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720" w:hRule="atLeast"/>
        </w:trPr>
        <w:tc>
          <w:tcPr>
            <w:tcW w:w="105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4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49"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33"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52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60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41"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8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投放草料区域乡镇</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&gt;=5个</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采购草料验收合格率</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投放草料及时率</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采购草料成本</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&lt;=2万元</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社会公众的保护意识得到增强</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增强</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减少野生动物的死亡</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413" w:type="dxa"/>
          <w:trHeight w:val="1000" w:hRule="atLeast"/>
        </w:trPr>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周边群众满意度</w:t>
            </w:r>
          </w:p>
        </w:tc>
        <w:tc>
          <w:tcPr>
            <w:tcW w:w="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2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6"/>
        <w:gridCol w:w="1132"/>
        <w:gridCol w:w="1048"/>
        <w:gridCol w:w="1016"/>
        <w:gridCol w:w="851"/>
        <w:gridCol w:w="601"/>
        <w:gridCol w:w="576"/>
        <w:gridCol w:w="1037"/>
        <w:gridCol w:w="10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74" w:hRule="atLeast"/>
        </w:trPr>
        <w:tc>
          <w:tcPr>
            <w:tcW w:w="820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20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1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2024年伊州区“枣树一号病”飞机防治</w:t>
            </w:r>
          </w:p>
        </w:tc>
        <w:tc>
          <w:tcPr>
            <w:tcW w:w="11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海力且木·艾买提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85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0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18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通过对重大林果有害生物（枣树一号病）危险性有害生物进行综合防治、达到发生范围不扩散或发生面积减小，促进林果产业提质增效的目的。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0" w:hRule="atLeast"/>
        </w:trPr>
        <w:tc>
          <w:tcPr>
            <w:tcW w:w="8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1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4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5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0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3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林业有害生物防治面积</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=12.59万亩次</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林业有害生物成灾率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&lt;=8.20‰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防治工作开展及时率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林业有害生物综合防治补助经费</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&lt;=90万元</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促进林果业增收</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显著提高</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林业有害生物无公害防治率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0" w:hRule="atLeast"/>
        </w:trPr>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1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林业有害生物防治区域民众满意度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4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825"/>
        <w:gridCol w:w="945"/>
        <w:gridCol w:w="690"/>
        <w:gridCol w:w="585"/>
        <w:gridCol w:w="1080"/>
        <w:gridCol w:w="11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849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49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33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古树名木保护专项经费</w:t>
            </w:r>
          </w:p>
        </w:tc>
        <w:tc>
          <w:tcPr>
            <w:tcW w:w="12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海力且木·铁木尔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94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33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通过实施古树名木挂牌，提高群众的保护意识。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完成挂牌的古树名木数量</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&gt;=277株</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古树名木挂牌覆盖率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古树名木挂牌及时率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古树名木挂牌费用</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提高群众保护古树名木意识</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提高古树名木保护水平</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tbl>
      <w:tblPr>
        <w:tblStyle w:val="3"/>
        <w:tblW w:w="74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3"/>
        <w:gridCol w:w="554"/>
        <w:gridCol w:w="1076"/>
        <w:gridCol w:w="1078"/>
        <w:gridCol w:w="1076"/>
        <w:gridCol w:w="525"/>
        <w:gridCol w:w="576"/>
        <w:gridCol w:w="1075"/>
        <w:gridCol w:w="8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74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742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28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国省道防护林管护费</w:t>
            </w:r>
          </w:p>
        </w:tc>
        <w:tc>
          <w:tcPr>
            <w:tcW w:w="11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马合木提.赛都拉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107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1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288"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通过完成2024年1.01万亩生态林管护工作，进一步提高管护质量，增加森林资源保有率，巩固造林成果，抗风抗沙及防风减灾能力显著增加，有效改善人居环境及生态环境。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5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5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生态林管护用水量</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&gt;=420万方</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生态林管护用电量</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&gt;=228万度</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生态林管护车辆燃油</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&gt;=6.5万升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生态林管护维修维护（管护车辆维修材料及劳务）</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&gt;=29辆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生态林管护维修维护（供电供水设备设施维修及劳务）</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&gt;=18眼井</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生态林管护专用材料（肥料）</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&gt;=30吨</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生态林管护专用材料（树木涂白剂）</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&gt;=222吨</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生态林管护专用材料（管护点值班室冬季采暖煤炭）</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&gt;=25吨</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生态林管护专用材料（供水供电设备管材及配件等）</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&gt;=8套水泵、过滤器</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生态林管护专用材料（园林工具及安防设备等）</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&gt;=20套</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其他交通费用（特殊机械设备租赁）</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其他交通费用（车辆保险及审验）</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&gt;=29辆</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&gt;=12间办公室</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委托业务费（病虫害防治等）</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&gt;=1.01万亩</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其他工资福利支出（驾驶员出车补助）</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&gt;=27人</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管护及时率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管护任务完成率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管护用水量</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&lt;=50万元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管护用电量</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&lt;=80万元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管护车辆燃油</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&lt;=50万元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生态林管护维修维护</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&lt;=50万元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生态林管护专用材料</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&lt;=65万元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其他交通费用</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&lt;=22万元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办公费用</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委托业务费</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&lt;=55万元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其他工资福利支出</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&lt;=18万元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防风抗沙率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植被覆盖率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服务市民满意度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生态林周边居民满意度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7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3"/>
        <w:gridCol w:w="955"/>
        <w:gridCol w:w="1062"/>
        <w:gridCol w:w="816"/>
        <w:gridCol w:w="874"/>
        <w:gridCol w:w="708"/>
        <w:gridCol w:w="576"/>
        <w:gridCol w:w="911"/>
        <w:gridCol w:w="10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78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780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599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林地、草地、湿地图斑核查费用</w:t>
            </w:r>
          </w:p>
        </w:tc>
        <w:tc>
          <w:tcPr>
            <w:tcW w:w="12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马合木提·赛都拉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87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8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599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通过开展2023年第4期及2024年各时期林草湿图斑外业调查及内业填报工作，做到全面掌握林草湿生态资源的状况。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85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0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完成各时期推送图斑</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&gt;=3期</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林草湿图斑调查个数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&gt;=2500个</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第三方调查监测完成准确率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图斑调查完成及时率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林草湿图斑调查成本</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&lt;=50万元</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促进社会公众对生态环境问题的关注</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有效促进</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tbl>
      <w:tblPr>
        <w:tblStyle w:val="3"/>
        <w:tblW w:w="79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0"/>
        <w:gridCol w:w="855"/>
        <w:gridCol w:w="1080"/>
        <w:gridCol w:w="930"/>
        <w:gridCol w:w="900"/>
        <w:gridCol w:w="645"/>
        <w:gridCol w:w="585"/>
        <w:gridCol w:w="93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790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7905"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1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林长制工作专项运行经费</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马合木提·赛都拉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7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15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通过拨付2022年工作宣传欠款及做好林长制工作运行保障，进一步加强林长制日常管理工作和林长制工作知晓率。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0" w:hRule="atLeast"/>
        </w:trPr>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更换林长制公示牌</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偿还欠款数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更换设备合格率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设备更换及时率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日常运行经费</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&lt;=9809元</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完成运行经费欠款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&lt;=10191元</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提高林长制宣传工作水平</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辖区群众满意度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tbl>
      <w:tblPr>
        <w:tblStyle w:val="3"/>
        <w:tblW w:w="77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7"/>
        <w:gridCol w:w="917"/>
        <w:gridCol w:w="1067"/>
        <w:gridCol w:w="808"/>
        <w:gridCol w:w="789"/>
        <w:gridCol w:w="655"/>
        <w:gridCol w:w="576"/>
        <w:gridCol w:w="1063"/>
        <w:gridCol w:w="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771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771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59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项目前期及规划编制费用</w:t>
            </w:r>
          </w:p>
        </w:tc>
        <w:tc>
          <w:tcPr>
            <w:tcW w:w="12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马合木提·赛都拉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8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593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通过完成林业和草原发展各类长期规划工作和草原划定确权等相关工作，提升林草发展水平及保护林草生态环境，促进林木资源的合理利用。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0" w:hRule="atLeast"/>
        </w:trPr>
        <w:tc>
          <w:tcPr>
            <w:tcW w:w="85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1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0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7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6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完成规划数量</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&gt;=5个</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规划验收合格率</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规划工作完成及时率</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项目成本预算金额</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&lt;=200万元</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提升林草发展水平</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保护林草生态环境</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保护</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规划使用人满意度</w:t>
            </w:r>
          </w:p>
        </w:tc>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2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85"/>
        <w:gridCol w:w="1080"/>
        <w:gridCol w:w="1080"/>
        <w:gridCol w:w="840"/>
        <w:gridCol w:w="855"/>
        <w:gridCol w:w="645"/>
        <w:gridCol w:w="600"/>
        <w:gridCol w:w="1080"/>
        <w:gridCol w:w="11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82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2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2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7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伊州区林草局森林草原违法违规野外用火举报奖励</w:t>
            </w:r>
          </w:p>
        </w:tc>
        <w:tc>
          <w:tcPr>
            <w:tcW w:w="1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马合木提·赛都拉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5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25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通过建立森林草原违法违规野外用火举报奖励机制，实施有奖举办方式，，及时发现、制止、惩处在森林草原防火期和森林草原防火区内违法违规野外用火行为。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8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全年举报案件数</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&gt;=1个</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举报奖励发放准确率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举报奖励发放及时率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举报奖励成本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提高全民防火意识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有效保护森林草原植被，降低森林火灾发生率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有效降低</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被奖励群众满意度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tbl>
      <w:tblPr>
        <w:tblStyle w:val="3"/>
        <w:tblW w:w="85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0"/>
        <w:gridCol w:w="990"/>
        <w:gridCol w:w="1080"/>
        <w:gridCol w:w="840"/>
        <w:gridCol w:w="870"/>
        <w:gridCol w:w="750"/>
        <w:gridCol w:w="780"/>
        <w:gridCol w:w="1080"/>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85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52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哈密市伊州区林业和草原局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7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伊州区林业有害生物防治专项经费</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海力且木·艾买提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87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60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通过购买林业有害生物防治药剂和租赁林业有害生物专用车辆，达到对林业有害生物做到早发现、早监测、早防治，保障林业有害生物监测、检疫以及防治工作的有序开展。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93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采购农药数量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&gt;=1批</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林业有害生物监测工作专用车辆数量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农药验收合格率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行业标准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林业害虫防治工作开展及时率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林业害虫防治经费</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&lt;=40万元</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促进林果业增收</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显著促进</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说明材料,工作资料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林业有害生物防治区域民众满意度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rPr>
          <w:rFonts w:hint="eastAsia" w:ascii="仿宋_GB2312" w:hAnsi="仿宋_GB2312" w:eastAsia="仿宋_GB2312" w:cs="仿宋_GB2312"/>
          <w:spacing w:val="18"/>
          <w:sz w:val="32"/>
          <w:szCs w:val="32"/>
          <w:lang w:val="en-US" w:eastAsia="zh-CN"/>
        </w:rPr>
      </w:pPr>
    </w:p>
    <w:p>
      <w:pPr>
        <w:rPr>
          <w:rFonts w:hint="eastAsia" w:ascii="仿宋_GB2312" w:hAnsi="仿宋_GB2312" w:eastAsia="仿宋_GB2312" w:cs="仿宋_GB2312"/>
          <w:spacing w:val="18"/>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4MTdkNTEyMDMzNzk3NmQzNzA2YzI3Yzc3OWI3ZjEifQ=="/>
  </w:docVars>
  <w:rsids>
    <w:rsidRoot w:val="00000000"/>
    <w:rsid w:val="05274B53"/>
    <w:rsid w:val="0A8A3F4F"/>
    <w:rsid w:val="0F215D80"/>
    <w:rsid w:val="0F6448E4"/>
    <w:rsid w:val="10573940"/>
    <w:rsid w:val="1E8C3A51"/>
    <w:rsid w:val="1F945345"/>
    <w:rsid w:val="22AA5687"/>
    <w:rsid w:val="22E65A86"/>
    <w:rsid w:val="24C538F5"/>
    <w:rsid w:val="34373A4A"/>
    <w:rsid w:val="3B210B9E"/>
    <w:rsid w:val="3B4F621D"/>
    <w:rsid w:val="3F2A1D89"/>
    <w:rsid w:val="43EB39D1"/>
    <w:rsid w:val="44B94F88"/>
    <w:rsid w:val="54906C2B"/>
    <w:rsid w:val="5BC1191C"/>
    <w:rsid w:val="6B8113BD"/>
    <w:rsid w:val="779B48F0"/>
    <w:rsid w:val="7DAB5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53</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2024-07-11T12:01:43Z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01C7890F6C1242C981059AACB440C79C_12</vt:lpwstr>
  </property>
</Properties>
</file>