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Autospacing="0" w:line="540" w:lineRule="exact"/>
        <w:jc w:val="center"/>
        <w:textAlignment w:val="auto"/>
        <w:outlineLvl w:val="1"/>
        <w:rPr>
          <w:rFonts w:hint="eastAsia" w:ascii="方正小标宋_GBK" w:hAnsi="宋体" w:eastAsia="方正小标宋_GBK" w:cs="方正小标宋_GBK"/>
          <w:kern w:val="0"/>
          <w:sz w:val="44"/>
          <w:szCs w:val="44"/>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540" w:lineRule="exact"/>
        <w:jc w:val="center"/>
        <w:textAlignment w:val="auto"/>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哈密市伊州区德外里都如克哈萨克民族乡人民政府</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color w:val="auto"/>
          <w:spacing w:val="18"/>
          <w:sz w:val="32"/>
          <w:szCs w:val="32"/>
          <w:highlight w:val="none"/>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我单位项目支出由年初的70万元调整为48万元（搬迁户水电费补助</w:t>
      </w:r>
      <w:r>
        <w:rPr>
          <w:rFonts w:hint="eastAsia" w:ascii="仿宋_GB2312" w:hAnsi="仿宋_GB2312" w:eastAsia="仿宋_GB2312" w:cs="仿宋_GB2312"/>
          <w:color w:val="auto"/>
          <w:spacing w:val="18"/>
          <w:sz w:val="32"/>
          <w:szCs w:val="32"/>
          <w:highlight w:val="none"/>
          <w:lang w:val="en-US" w:eastAsia="zh-CN"/>
        </w:rPr>
        <w:t>项目支出由年初22万元调整为0万元</w:t>
      </w:r>
      <w:r>
        <w:rPr>
          <w:rFonts w:hint="eastAsia" w:ascii="仿宋_GB2312" w:hAnsi="仿宋_GB2312" w:eastAsia="仿宋_GB2312" w:cs="仿宋_GB2312"/>
          <w:spacing w:val="18"/>
          <w:sz w:val="32"/>
          <w:szCs w:val="32"/>
          <w:lang w:val="en-US" w:eastAsia="zh-CN"/>
        </w:rPr>
        <w:t>）</w:t>
      </w:r>
      <w:r>
        <w:rPr>
          <w:rFonts w:hint="eastAsia" w:ascii="仿宋_GB2312" w:hAnsi="仿宋_GB2312" w:eastAsia="仿宋_GB2312" w:cs="仿宋_GB2312"/>
          <w:color w:val="auto"/>
          <w:spacing w:val="18"/>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附件一：伊州区哈密市伊州区德外理都如克哈萨克民族乡人民政府项目支出表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356" w:firstLineChars="100"/>
        <w:jc w:val="righ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哈密市伊州区德外理都如克哈萨克民族乡人民政府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jc w:val="center"/>
        <w:textAlignment w:val="auto"/>
        <w:rPr>
          <w:rFonts w:hint="eastAsia" w:ascii="仿宋_GB2312" w:hAnsi="仿宋_GB2312" w:eastAsia="仿宋_GB2312" w:cs="仿宋_GB2312"/>
          <w:spacing w:val="18"/>
          <w:sz w:val="32"/>
          <w:szCs w:val="32"/>
          <w:lang w:val="en-US" w:eastAsia="zh-CN"/>
        </w:rPr>
        <w:sectPr>
          <w:pgSz w:w="11906" w:h="16838"/>
          <w:pgMar w:top="2098" w:right="1531" w:bottom="1984" w:left="1531"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t>2024年6月5日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931"/>
        <w:gridCol w:w="931"/>
        <w:gridCol w:w="931"/>
        <w:gridCol w:w="931"/>
        <w:gridCol w:w="1475"/>
        <w:gridCol w:w="654"/>
        <w:gridCol w:w="931"/>
        <w:gridCol w:w="931"/>
        <w:gridCol w:w="931"/>
        <w:gridCol w:w="931"/>
        <w:gridCol w:w="932"/>
        <w:gridCol w:w="932"/>
        <w:gridCol w:w="36"/>
        <w:gridCol w:w="730"/>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Style w:val="5"/>
                <w:rFonts w:hint="eastAsia" w:hAnsi="宋体"/>
                <w:lang w:val="en-US" w:eastAsia="zh-CN" w:bidi="ar"/>
              </w:rPr>
              <w:t>哈密市伊州区德外理都如克哈萨克民族乡人民政府</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793"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931"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475"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654"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年初项目支出合计</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调整后项目支出合计</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931"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475" w:type="dxa"/>
            <w:vMerge w:val="continue"/>
            <w:vAlign w:val="center"/>
          </w:tcPr>
          <w:p>
            <w:pPr>
              <w:jc w:val="center"/>
            </w:pPr>
          </w:p>
        </w:tc>
        <w:tc>
          <w:tcPr>
            <w:tcW w:w="654"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475"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654"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rPr>
            </w:pPr>
            <w:r>
              <w:rPr>
                <w:rFonts w:hint="eastAsia" w:ascii="仿宋_GB2312" w:hAnsi="宋体" w:eastAsia="仿宋_GB2312" w:cs="仿宋_GB2312"/>
                <w:i w:val="0"/>
                <w:color w:val="000000"/>
                <w:kern w:val="0"/>
                <w:sz w:val="20"/>
                <w:szCs w:val="20"/>
                <w:u w:val="none"/>
                <w:lang w:val="en-US" w:eastAsia="zh-CN" w:bidi="ar"/>
              </w:rPr>
              <w:t>201</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03</w:t>
            </w:r>
          </w:p>
        </w:tc>
        <w:tc>
          <w:tcPr>
            <w:tcW w:w="931" w:type="dxa"/>
            <w:vAlign w:val="center"/>
          </w:tcPr>
          <w:p>
            <w:pPr>
              <w:jc w:val="lef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p>
        </w:tc>
        <w:tc>
          <w:tcPr>
            <w:tcW w:w="1475" w:type="dxa"/>
            <w:vAlign w:val="center"/>
          </w:tcPr>
          <w:p>
            <w:pPr>
              <w:jc w:val="left"/>
            </w:pPr>
            <w:r>
              <w:rPr>
                <w:rFonts w:hint="eastAsia" w:ascii="仿宋_GB2312" w:hAnsi="宋体" w:eastAsia="仿宋_GB2312" w:cs="仿宋_GB2312"/>
                <w:i w:val="0"/>
                <w:color w:val="000000"/>
                <w:kern w:val="0"/>
                <w:sz w:val="20"/>
                <w:szCs w:val="20"/>
                <w:u w:val="none"/>
                <w:lang w:val="en-US" w:eastAsia="zh-CN" w:bidi="ar"/>
              </w:rPr>
              <w:t>特定类-</w:t>
            </w:r>
            <w:r>
              <w:rPr>
                <w:rFonts w:hint="eastAsia"/>
              </w:rPr>
              <w:t>搬迁户水电费补助</w:t>
            </w:r>
          </w:p>
        </w:tc>
        <w:tc>
          <w:tcPr>
            <w:tcW w:w="654" w:type="dxa"/>
            <w:vAlign w:val="center"/>
          </w:tcPr>
          <w:p>
            <w:pPr>
              <w:jc w:val="right"/>
              <w:rPr>
                <w:rFonts w:hint="default" w:eastAsiaTheme="minorEastAsia"/>
                <w:lang w:val="en-US" w:eastAsia="zh-CN"/>
              </w:rPr>
            </w:pPr>
            <w:r>
              <w:rPr>
                <w:rFonts w:hint="eastAsia"/>
                <w:lang w:val="en-US" w:eastAsia="zh-CN"/>
              </w:rPr>
              <w:t>22</w:t>
            </w:r>
          </w:p>
        </w:tc>
        <w:tc>
          <w:tcPr>
            <w:tcW w:w="931" w:type="dxa"/>
            <w:vAlign w:val="center"/>
          </w:tcPr>
          <w:p>
            <w:pPr>
              <w:jc w:val="right"/>
              <w:rPr>
                <w:rFonts w:hint="eastAsia"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w:t>
            </w: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03</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default" w:ascii="仿宋_GB2312" w:eastAsia="仿宋_GB2312"/>
                <w:color w:val="auto"/>
                <w:sz w:val="20"/>
                <w:szCs w:val="20"/>
                <w:highlight w:val="none"/>
                <w:lang w:val="en-US" w:eastAsia="zh-CN"/>
              </w:rPr>
            </w:pPr>
          </w:p>
        </w:tc>
        <w:tc>
          <w:tcPr>
            <w:tcW w:w="1475" w:type="dxa"/>
            <w:vAlign w:val="center"/>
          </w:tcPr>
          <w:p>
            <w:pPr>
              <w:keepNext w:val="0"/>
              <w:keepLines w:val="0"/>
              <w:widowControl/>
              <w:suppressLineNumbers w:val="0"/>
              <w:jc w:val="left"/>
              <w:textAlignment w:val="center"/>
              <w:rPr>
                <w:rFonts w:hint="default" w:eastAsiaTheme="minorEastAsia"/>
                <w:lang w:val="en-US" w:eastAsia="zh-CN"/>
              </w:rPr>
            </w:pPr>
            <w:r>
              <w:rPr>
                <w:rFonts w:hint="eastAsia"/>
                <w:lang w:val="en-US" w:eastAsia="zh-CN"/>
              </w:rPr>
              <w:t>特定类--村级支出</w:t>
            </w:r>
          </w:p>
        </w:tc>
        <w:tc>
          <w:tcPr>
            <w:tcW w:w="654" w:type="dxa"/>
            <w:vAlign w:val="center"/>
          </w:tcPr>
          <w:p>
            <w:pPr>
              <w:jc w:val="right"/>
              <w:rPr>
                <w:rFonts w:hint="default" w:eastAsiaTheme="minorEastAsia"/>
                <w:lang w:val="en-US" w:eastAsia="zh-CN"/>
              </w:rPr>
            </w:pPr>
            <w:r>
              <w:rPr>
                <w:rFonts w:hint="eastAsia"/>
                <w:lang w:val="en-US" w:eastAsia="zh-CN"/>
              </w:rPr>
              <w:t>40</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40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201</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03</w:t>
            </w:r>
          </w:p>
        </w:tc>
        <w:tc>
          <w:tcPr>
            <w:tcW w:w="931" w:type="dxa"/>
            <w:vAlign w:val="center"/>
          </w:tcPr>
          <w:p>
            <w:pPr>
              <w:keepNext w:val="0"/>
              <w:keepLines w:val="0"/>
              <w:widowControl/>
              <w:suppressLineNumbers w:val="0"/>
              <w:jc w:val="left"/>
              <w:textAlignment w:val="center"/>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99</w:t>
            </w: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p>
        </w:tc>
        <w:tc>
          <w:tcPr>
            <w:tcW w:w="1475" w:type="dxa"/>
            <w:vAlign w:val="center"/>
          </w:tcPr>
          <w:p>
            <w:pPr>
              <w:keepNext w:val="0"/>
              <w:keepLines w:val="0"/>
              <w:widowControl/>
              <w:suppressLineNumbers w:val="0"/>
              <w:jc w:val="left"/>
              <w:textAlignment w:val="center"/>
              <w:rPr>
                <w:rFonts w:hint="default" w:eastAsiaTheme="minorEastAsia"/>
                <w:lang w:val="en-US" w:eastAsia="zh-CN"/>
              </w:rPr>
            </w:pPr>
            <w:r>
              <w:rPr>
                <w:rFonts w:hint="eastAsia"/>
                <w:lang w:val="en-US" w:eastAsia="zh-CN"/>
              </w:rPr>
              <w:t>特定类--全口径项目</w:t>
            </w:r>
          </w:p>
        </w:tc>
        <w:tc>
          <w:tcPr>
            <w:tcW w:w="654" w:type="dxa"/>
            <w:vAlign w:val="center"/>
          </w:tcPr>
          <w:p>
            <w:pPr>
              <w:jc w:val="right"/>
              <w:rPr>
                <w:rFonts w:hint="default" w:eastAsiaTheme="minorEastAsia"/>
                <w:lang w:val="en-US" w:eastAsia="zh-CN"/>
              </w:rPr>
            </w:pPr>
            <w:r>
              <w:rPr>
                <w:rFonts w:hint="eastAsia"/>
                <w:lang w:val="en-US" w:eastAsia="zh-CN"/>
              </w:rPr>
              <w:t>8</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8</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rPr>
                <w:rFonts w:hint="eastAsia" w:eastAsiaTheme="minorEastAsia"/>
                <w:lang w:val="en-US" w:eastAsia="zh-CN"/>
              </w:rPr>
            </w:pPr>
            <w:r>
              <w:rPr>
                <w:rFonts w:hint="eastAsia"/>
                <w:lang w:val="en-US" w:eastAsia="zh-CN"/>
              </w:rPr>
              <w:t>8</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kern w:val="0"/>
                <w:sz w:val="16"/>
                <w:szCs w:val="16"/>
                <w:lang w:val="en-US" w:eastAsia="zh-CN"/>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hint="default"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p>
        </w:tc>
        <w:tc>
          <w:tcPr>
            <w:tcW w:w="1475" w:type="dxa"/>
            <w:vAlign w:val="center"/>
          </w:tcPr>
          <w:p>
            <w:pPr>
              <w:jc w:val="left"/>
              <w:rPr>
                <w:rFonts w:hint="default" w:eastAsiaTheme="minorEastAsia"/>
                <w:lang w:val="en-US" w:eastAsia="zh-CN"/>
              </w:rPr>
            </w:pPr>
          </w:p>
        </w:tc>
        <w:tc>
          <w:tcPr>
            <w:tcW w:w="654" w:type="dxa"/>
            <w:vAlign w:val="center"/>
          </w:tcPr>
          <w:p>
            <w:pPr>
              <w:jc w:val="right"/>
              <w:rPr>
                <w:rFonts w:hint="default" w:eastAsiaTheme="minorEastAsia"/>
                <w:lang w:val="en-US" w:eastAsia="zh-CN"/>
              </w:rPr>
            </w:pPr>
          </w:p>
        </w:tc>
        <w:tc>
          <w:tcPr>
            <w:tcW w:w="931" w:type="dxa"/>
            <w:vAlign w:val="center"/>
          </w:tcPr>
          <w:p>
            <w:pPr>
              <w:jc w:val="right"/>
              <w:rPr>
                <w:rFonts w:hint="default" w:ascii="仿宋_GB2312" w:hAnsi="宋体" w:eastAsia="仿宋_GB2312" w:cs="宋体"/>
                <w:kern w:val="0"/>
                <w:sz w:val="16"/>
                <w:szCs w:val="16"/>
                <w:lang w:val="en-US" w:eastAsia="zh-CN"/>
              </w:rPr>
            </w:pP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left"/>
              <w:rPr>
                <w:rFonts w:hint="default" w:ascii="仿宋_GB2312" w:hAnsi="宋体" w:eastAsia="仿宋_GB2312"/>
                <w:kern w:val="0"/>
                <w:sz w:val="16"/>
                <w:szCs w:val="16"/>
                <w:lang w:val="en-US" w:eastAsia="zh-CN"/>
              </w:rPr>
            </w:pPr>
          </w:p>
        </w:tc>
        <w:tc>
          <w:tcPr>
            <w:tcW w:w="931" w:type="dxa"/>
            <w:vAlign w:val="center"/>
          </w:tcPr>
          <w:p>
            <w:pPr>
              <w:jc w:val="left"/>
              <w:rPr>
                <w:rFonts w:ascii="仿宋_GB2312" w:hAnsi="宋体" w:eastAsia="仿宋_GB2312"/>
                <w:kern w:val="0"/>
                <w:sz w:val="16"/>
                <w:szCs w:val="16"/>
              </w:rPr>
            </w:pPr>
          </w:p>
        </w:tc>
        <w:tc>
          <w:tcPr>
            <w:tcW w:w="931" w:type="dxa"/>
            <w:vAlign w:val="center"/>
          </w:tcPr>
          <w:p>
            <w:pPr>
              <w:jc w:val="left"/>
              <w:rPr>
                <w:rFonts w:hint="default" w:ascii="仿宋_GB2312" w:hAnsi="宋体" w:eastAsia="仿宋_GB2312"/>
                <w:kern w:val="0"/>
                <w:sz w:val="16"/>
                <w:szCs w:val="16"/>
                <w:lang w:val="en-US" w:eastAsia="zh-CN"/>
              </w:rPr>
            </w:pPr>
          </w:p>
        </w:tc>
        <w:tc>
          <w:tcPr>
            <w:tcW w:w="931" w:type="dxa"/>
            <w:vAlign w:val="center"/>
          </w:tcPr>
          <w:p>
            <w:pPr>
              <w:keepNext w:val="0"/>
              <w:keepLines w:val="0"/>
              <w:widowControl/>
              <w:suppressLineNumbers w:val="0"/>
              <w:jc w:val="left"/>
              <w:textAlignment w:val="center"/>
              <w:rPr>
                <w:rFonts w:hint="eastAsia" w:ascii="仿宋_GB2312" w:eastAsia="仿宋_GB2312"/>
                <w:color w:val="auto"/>
                <w:sz w:val="20"/>
                <w:szCs w:val="20"/>
                <w:highlight w:val="none"/>
                <w:lang w:val="en-US" w:eastAsia="zh-CN"/>
              </w:rPr>
            </w:pPr>
          </w:p>
        </w:tc>
        <w:tc>
          <w:tcPr>
            <w:tcW w:w="1475" w:type="dxa"/>
            <w:vAlign w:val="center"/>
          </w:tcPr>
          <w:p>
            <w:pPr>
              <w:jc w:val="left"/>
              <w:rPr>
                <w:rFonts w:hint="default" w:eastAsiaTheme="minorEastAsia"/>
                <w:lang w:val="en-US" w:eastAsia="zh-CN"/>
              </w:rPr>
            </w:pPr>
          </w:p>
        </w:tc>
        <w:tc>
          <w:tcPr>
            <w:tcW w:w="654" w:type="dxa"/>
            <w:vAlign w:val="center"/>
          </w:tcPr>
          <w:p>
            <w:pPr>
              <w:jc w:val="right"/>
              <w:rPr>
                <w:rFonts w:hint="default" w:eastAsiaTheme="minorEastAsia"/>
                <w:lang w:val="en-US" w:eastAsia="zh-CN"/>
              </w:rPr>
            </w:pPr>
            <w:r>
              <w:rPr>
                <w:rFonts w:hint="eastAsia"/>
                <w:lang w:val="en-US" w:eastAsia="zh-CN"/>
              </w:rPr>
              <w:t>70</w:t>
            </w:r>
          </w:p>
        </w:tc>
        <w:tc>
          <w:tcPr>
            <w:tcW w:w="931"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48</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40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rPr>
                <w:rFonts w:hint="eastAsia"/>
                <w:lang w:val="en-US" w:eastAsia="zh-CN"/>
              </w:rPr>
            </w:pPr>
            <w:r>
              <w:rPr>
                <w:rFonts w:hint="eastAsia"/>
                <w:lang w:val="en-US" w:eastAsia="zh-CN"/>
              </w:rPr>
              <w:t>8</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2098" w:right="1440" w:bottom="1984"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9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1"/>
        <w:gridCol w:w="1328"/>
        <w:gridCol w:w="966"/>
        <w:gridCol w:w="947"/>
        <w:gridCol w:w="845"/>
        <w:gridCol w:w="1122"/>
        <w:gridCol w:w="972"/>
        <w:gridCol w:w="971"/>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922"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69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哈密市伊州区德外理都如克哈萨克民族乡人民政府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5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特定类-搬迁户水电费补助</w:t>
            </w:r>
          </w:p>
        </w:tc>
        <w:tc>
          <w:tcPr>
            <w:tcW w:w="209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赵鹏飞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22</w:t>
            </w:r>
          </w:p>
        </w:tc>
        <w:tc>
          <w:tcPr>
            <w:tcW w:w="845"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22</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69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lang w:eastAsia="zh-CN"/>
              </w:rPr>
              <w:t>调减</w:t>
            </w:r>
            <w:r>
              <w:rPr>
                <w:rFonts w:hint="eastAsia" w:ascii="宋体" w:hAnsi="宋体" w:eastAsia="宋体" w:cs="宋体"/>
                <w:i w:val="0"/>
                <w:color w:val="000000"/>
                <w:sz w:val="18"/>
                <w:szCs w:val="18"/>
                <w:u w:val="none"/>
              </w:rPr>
              <w:t>搬迁户水电费补助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4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4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12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7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9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9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宋体" w:hAnsi="宋体" w:eastAsia="宋体" w:cs="宋体"/>
                <w:i w:val="0"/>
                <w:color w:val="000000"/>
                <w:sz w:val="20"/>
                <w:szCs w:val="20"/>
                <w:u w:val="none"/>
              </w:rPr>
            </w:pP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55BB3"/>
    <w:rsid w:val="04F53EA0"/>
    <w:rsid w:val="05274B53"/>
    <w:rsid w:val="069025DB"/>
    <w:rsid w:val="08500530"/>
    <w:rsid w:val="0A8A3F4F"/>
    <w:rsid w:val="0EC523E4"/>
    <w:rsid w:val="0FC35A4D"/>
    <w:rsid w:val="10573940"/>
    <w:rsid w:val="15344BE5"/>
    <w:rsid w:val="1D6D1654"/>
    <w:rsid w:val="1E8C3A51"/>
    <w:rsid w:val="1ED9326F"/>
    <w:rsid w:val="1F945345"/>
    <w:rsid w:val="22662E5C"/>
    <w:rsid w:val="22AA5687"/>
    <w:rsid w:val="22E65A86"/>
    <w:rsid w:val="24C538F5"/>
    <w:rsid w:val="3F2A1D89"/>
    <w:rsid w:val="43EB39D1"/>
    <w:rsid w:val="44B94F88"/>
    <w:rsid w:val="5CF35AAE"/>
    <w:rsid w:val="62EA054C"/>
    <w:rsid w:val="6760064D"/>
    <w:rsid w:val="679D7632"/>
    <w:rsid w:val="698F1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2024-07-12T02:38:56Z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6A6D51A6F90740CEB80CE48D83401A96</vt:lpwstr>
  </property>
</Properties>
</file>