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200"/>
        <w:rPr>
          <w:rFonts w:hint="eastAsia" w:ascii="仿宋_GB2312" w:hAnsi="仿宋_GB2312" w:eastAsia="仿宋_GB2312" w:cs="仿宋_GB2312"/>
          <w:spacing w:val="5"/>
          <w:sz w:val="32"/>
          <w:szCs w:val="32"/>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bookmarkStart w:id="0" w:name="_GoBack"/>
      <w:r>
        <w:rPr>
          <w:rFonts w:hint="eastAsia" w:ascii="方正小标宋_GBK" w:hAnsi="宋体" w:eastAsia="方正小标宋_GBK" w:cs="方正小标宋_GBK"/>
          <w:kern w:val="0"/>
          <w:sz w:val="44"/>
          <w:szCs w:val="44"/>
          <w:lang w:val="en-US" w:eastAsia="zh-CN"/>
        </w:rPr>
        <w:t>关于</w:t>
      </w:r>
      <w:r>
        <w:rPr>
          <w:rFonts w:hint="eastAsia" w:ascii="方正小标宋_GBK" w:hAnsi="宋体" w:eastAsia="方正小标宋_GBK" w:cs="方正小标宋_GBK"/>
          <w:kern w:val="0"/>
          <w:sz w:val="44"/>
          <w:szCs w:val="44"/>
        </w:rPr>
        <w:t>伊州区</w:t>
      </w:r>
      <w:r>
        <w:rPr>
          <w:rFonts w:hint="eastAsia" w:ascii="方正小标宋_GBK" w:hAnsi="宋体" w:eastAsia="方正小标宋_GBK" w:cs="方正小标宋_GBK"/>
          <w:kern w:val="0"/>
          <w:sz w:val="44"/>
          <w:szCs w:val="44"/>
          <w:lang w:val="en-US" w:eastAsia="zh-CN"/>
        </w:rPr>
        <w:t>司法局</w:t>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w:t>
      </w:r>
    </w:p>
    <w:p>
      <w:pPr>
        <w:widowControl/>
        <w:spacing w:before="100" w:beforeAutospacing="1" w:after="100" w:afterAutospacing="1"/>
        <w:jc w:val="center"/>
        <w:outlineLvl w:val="1"/>
        <w:rPr>
          <w:rFonts w:hint="default" w:ascii="宋体" w:eastAsia="方正小标宋_GBK"/>
          <w:b/>
          <w:bCs/>
          <w:kern w:val="0"/>
          <w:sz w:val="44"/>
          <w:szCs w:val="44"/>
          <w:lang w:val="en-US" w:eastAsia="zh-CN"/>
        </w:rPr>
      </w:pPr>
      <w:r>
        <w:rPr>
          <w:rFonts w:hint="eastAsia" w:ascii="方正小标宋_GBK" w:hAnsi="宋体" w:eastAsia="方正小标宋_GBK"/>
          <w:kern w:val="0"/>
          <w:sz w:val="44"/>
          <w:szCs w:val="44"/>
        </w:rPr>
        <w:t>公开</w:t>
      </w:r>
      <w:bookmarkEnd w:id="0"/>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spacing w:val="18"/>
          <w:sz w:val="32"/>
          <w:szCs w:val="32"/>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经伊州区二届人大常委会第二十二次会议批准</w:t>
      </w:r>
      <w:r>
        <w:rPr>
          <w:rFonts w:hint="eastAsia" w:ascii="仿宋_GB2312" w:hAnsi="仿宋_GB2312" w:eastAsia="仿宋_GB2312" w:cs="仿宋_GB2312"/>
          <w:spacing w:val="-3"/>
          <w:sz w:val="32"/>
          <w:szCs w:val="32"/>
        </w:rPr>
        <w:t>，202</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18"/>
          <w:sz w:val="32"/>
          <w:szCs w:val="32"/>
        </w:rPr>
        <w:t>年</w:t>
      </w:r>
      <w:r>
        <w:rPr>
          <w:rFonts w:hint="eastAsia" w:ascii="仿宋_GB2312" w:hAnsi="仿宋_GB2312" w:eastAsia="仿宋_GB2312" w:cs="仿宋_GB2312"/>
          <w:spacing w:val="18"/>
          <w:sz w:val="32"/>
          <w:szCs w:val="32"/>
          <w:lang w:val="en-US" w:eastAsia="zh-CN"/>
        </w:rPr>
        <w:t>我单位</w:t>
      </w:r>
      <w:commentRangeStart w:id="0"/>
      <w:r>
        <w:rPr>
          <w:rFonts w:hint="eastAsia" w:ascii="仿宋_GB2312" w:hAnsi="仿宋_GB2312" w:eastAsia="仿宋_GB2312" w:cs="仿宋_GB2312"/>
          <w:color w:val="0000FF"/>
          <w:spacing w:val="18"/>
          <w:sz w:val="32"/>
          <w:szCs w:val="32"/>
          <w:highlight w:val="none"/>
          <w:lang w:val="en-US" w:eastAsia="zh-CN"/>
        </w:rPr>
        <w:t>项目支出由年初</w:t>
      </w:r>
      <w:r>
        <w:rPr>
          <w:rFonts w:hint="eastAsia" w:ascii="仿宋_GB2312" w:hAnsi="宋体" w:eastAsia="仿宋_GB2312" w:cs="宋体"/>
          <w:kern w:val="0"/>
          <w:sz w:val="32"/>
          <w:szCs w:val="32"/>
          <w:lang w:val="en-US" w:eastAsia="zh-CN"/>
        </w:rPr>
        <w:t>0</w:t>
      </w:r>
      <w:r>
        <w:rPr>
          <w:rFonts w:hint="eastAsia" w:ascii="仿宋_GB2312" w:hAnsi="仿宋_GB2312" w:eastAsia="仿宋_GB2312" w:cs="仿宋_GB2312"/>
          <w:color w:val="0000FF"/>
          <w:spacing w:val="18"/>
          <w:sz w:val="32"/>
          <w:szCs w:val="32"/>
          <w:highlight w:val="none"/>
          <w:lang w:val="en-US" w:eastAsia="zh-CN"/>
        </w:rPr>
        <w:t>万元</w:t>
      </w:r>
      <w:commentRangeEnd w:id="0"/>
      <w:r>
        <w:commentReference w:id="0"/>
      </w:r>
      <w:commentRangeStart w:id="1"/>
      <w:r>
        <w:rPr>
          <w:rFonts w:hint="eastAsia" w:ascii="仿宋_GB2312" w:hAnsi="仿宋_GB2312" w:eastAsia="仿宋_GB2312" w:cs="仿宋_GB2312"/>
          <w:color w:val="0000FF"/>
          <w:spacing w:val="18"/>
          <w:sz w:val="32"/>
          <w:szCs w:val="32"/>
          <w:highlight w:val="none"/>
          <w:lang w:val="en-US" w:eastAsia="zh-CN"/>
        </w:rPr>
        <w:t>调整为57万元</w:t>
      </w:r>
      <w:commentRangeEnd w:id="1"/>
      <w:r>
        <w:commentReference w:id="1"/>
      </w:r>
      <w:r>
        <w:rPr>
          <w:rFonts w:hint="eastAsia" w:ascii="仿宋_GB2312" w:hAnsi="仿宋_GB2312" w:eastAsia="仿宋_GB2312" w:cs="仿宋_GB2312"/>
          <w:spacing w:val="18"/>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附件一：伊州区司法局项目支出表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rPr>
          <w:rFonts w:hint="eastAsia" w:ascii="仿宋_GB2312" w:hAnsi="仿宋_GB2312" w:eastAsia="仿宋_GB2312" w:cs="仿宋_GB2312"/>
          <w:spacing w:val="18"/>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w:t>
      </w:r>
    </w:p>
    <w:tbl>
      <w:tblPr>
        <w:tblStyle w:val="3"/>
        <w:tblW w:w="15129" w:type="dxa"/>
        <w:jc w:val="center"/>
        <w:tblInd w:w="0" w:type="dxa"/>
        <w:tblLayout w:type="fixed"/>
        <w:tblCellMar>
          <w:top w:w="0" w:type="dxa"/>
          <w:left w:w="108" w:type="dxa"/>
          <w:bottom w:w="0" w:type="dxa"/>
          <w:right w:w="108" w:type="dxa"/>
        </w:tblCellMar>
      </w:tblPr>
      <w:tblGrid>
        <w:gridCol w:w="931"/>
        <w:gridCol w:w="931"/>
        <w:gridCol w:w="931"/>
        <w:gridCol w:w="931"/>
        <w:gridCol w:w="1198"/>
        <w:gridCol w:w="931"/>
        <w:gridCol w:w="931"/>
        <w:gridCol w:w="931"/>
        <w:gridCol w:w="931"/>
        <w:gridCol w:w="931"/>
        <w:gridCol w:w="932"/>
        <w:gridCol w:w="932"/>
        <w:gridCol w:w="36"/>
        <w:gridCol w:w="730"/>
        <w:gridCol w:w="730"/>
        <w:gridCol w:w="730"/>
        <w:gridCol w:w="731"/>
        <w:gridCol w:w="731"/>
      </w:tblGrid>
      <w:tr>
        <w:tblPrEx>
          <w:tblLayout w:type="fixed"/>
          <w:tblCellMar>
            <w:top w:w="0" w:type="dxa"/>
            <w:left w:w="108" w:type="dxa"/>
            <w:bottom w:w="0" w:type="dxa"/>
            <w:right w:w="108" w:type="dxa"/>
          </w:tblCellMar>
        </w:tblPrEx>
        <w:trPr>
          <w:trHeight w:val="476" w:hRule="atLeast"/>
          <w:jc w:val="center"/>
        </w:trPr>
        <w:tc>
          <w:tcPr>
            <w:tcW w:w="11441" w:type="dxa"/>
            <w:gridSpan w:val="12"/>
            <w:tcBorders>
              <w:top w:val="nil"/>
              <w:left w:val="nil"/>
              <w:bottom w:val="nil"/>
              <w:right w:val="nil"/>
            </w:tcBorders>
            <w:vAlign w:val="center"/>
          </w:tcPr>
          <w:p>
            <w:pPr>
              <w:keepNext w:val="0"/>
              <w:keepLines w:val="0"/>
              <w:widowControl/>
              <w:suppressLineNumbers w:val="0"/>
              <w:jc w:val="lef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w:t>
            </w:r>
            <w:r>
              <w:rPr>
                <w:rFonts w:hint="eastAsia" w:ascii="仿宋_GB2312" w:hAnsi="宋体" w:eastAsia="仿宋_GB2312"/>
                <w:kern w:val="0"/>
                <w:sz w:val="24"/>
              </w:rPr>
              <w:t>哈密市</w:t>
            </w:r>
            <w:r>
              <w:rPr>
                <w:rStyle w:val="5"/>
                <w:rFonts w:hAnsi="宋体"/>
                <w:lang w:val="en-US" w:eastAsia="zh-CN" w:bidi="ar"/>
              </w:rPr>
              <w:t>伊州区司法局</w:t>
            </w:r>
          </w:p>
        </w:tc>
        <w:tc>
          <w:tcPr>
            <w:tcW w:w="3688" w:type="dxa"/>
            <w:gridSpan w:val="6"/>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2793"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931"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1198"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2"/>
            <w:r>
              <w:rPr>
                <w:rFonts w:hint="eastAsia" w:ascii="仿宋_GB2312" w:hAnsi="宋体" w:eastAsia="仿宋_GB2312" w:cs="仿宋_GB2312"/>
                <w:b/>
                <w:i w:val="0"/>
                <w:color w:val="000000"/>
                <w:kern w:val="0"/>
                <w:sz w:val="20"/>
                <w:szCs w:val="20"/>
                <w:u w:val="none"/>
                <w:lang w:val="en-US" w:eastAsia="zh-CN" w:bidi="ar"/>
              </w:rPr>
              <w:t>年初项目支出合计</w:t>
            </w:r>
            <w:commentRangeEnd w:id="2"/>
            <w:r>
              <w:commentReference w:id="2"/>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3"/>
            <w:r>
              <w:rPr>
                <w:rFonts w:hint="eastAsia" w:ascii="仿宋_GB2312" w:hAnsi="宋体" w:eastAsia="仿宋_GB2312" w:cs="仿宋_GB2312"/>
                <w:b/>
                <w:i w:val="0"/>
                <w:color w:val="000000"/>
                <w:kern w:val="0"/>
                <w:sz w:val="20"/>
                <w:szCs w:val="20"/>
                <w:u w:val="none"/>
                <w:lang w:val="en-US" w:eastAsia="zh-CN" w:bidi="ar"/>
              </w:rPr>
              <w:t>调整后项目支出合计</w:t>
            </w:r>
            <w:commentRangeEnd w:id="3"/>
            <w:r>
              <w:commentReference w:id="3"/>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931"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932"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968" w:type="dxa"/>
            <w:gridSpan w:val="2"/>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4" w:hRule="atLeast"/>
          <w:jc w:val="center"/>
        </w:trPr>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931"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931"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1198"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932" w:type="dxa"/>
            <w:vMerge w:val="continue"/>
            <w:vAlign w:val="center"/>
          </w:tcPr>
          <w:p>
            <w:pPr>
              <w:jc w:val="center"/>
              <w:rPr>
                <w:rFonts w:ascii="仿宋_GB2312" w:hAnsi="宋体" w:eastAsia="仿宋_GB2312"/>
                <w:b/>
                <w:kern w:val="0"/>
                <w:sz w:val="20"/>
                <w:szCs w:val="20"/>
              </w:rPr>
            </w:pPr>
          </w:p>
        </w:tc>
        <w:tc>
          <w:tcPr>
            <w:tcW w:w="968" w:type="dxa"/>
            <w:gridSpan w:val="2"/>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198"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931"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932"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968" w:type="dxa"/>
            <w:gridSpan w:val="2"/>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center"/>
              <w:rPr>
                <w:rFonts w:hint="default" w:ascii="仿宋_GB2312" w:eastAsia="仿宋_GB2312" w:hAnsiTheme="minorHAnsi" w:cstheme="minorBidi"/>
                <w:color w:val="000000"/>
                <w:kern w:val="2"/>
                <w:sz w:val="20"/>
                <w:szCs w:val="20"/>
                <w:lang w:val="en-US" w:eastAsia="zh-CN" w:bidi="ar-SA"/>
              </w:rPr>
            </w:pPr>
            <w:r>
              <w:rPr>
                <w:rFonts w:hint="eastAsia" w:ascii="仿宋_GB2312" w:eastAsia="仿宋_GB2312"/>
                <w:color w:val="auto"/>
                <w:sz w:val="20"/>
                <w:szCs w:val="20"/>
                <w:highlight w:val="none"/>
                <w:lang w:val="en-US" w:eastAsia="zh-CN"/>
              </w:rPr>
              <w:t>204</w:t>
            </w:r>
          </w:p>
        </w:tc>
        <w:tc>
          <w:tcPr>
            <w:tcW w:w="931" w:type="dxa"/>
            <w:vAlign w:val="center"/>
          </w:tcPr>
          <w:p>
            <w:pPr>
              <w:jc w:val="center"/>
              <w:rPr>
                <w:rFonts w:hint="default" w:ascii="仿宋_GB2312" w:eastAsia="仿宋_GB2312" w:hAnsiTheme="minorHAnsi" w:cstheme="minorBidi"/>
                <w:color w:val="000000"/>
                <w:kern w:val="2"/>
                <w:sz w:val="20"/>
                <w:szCs w:val="20"/>
                <w:lang w:val="en-US" w:eastAsia="zh-CN" w:bidi="ar-SA"/>
              </w:rPr>
            </w:pPr>
          </w:p>
        </w:tc>
        <w:tc>
          <w:tcPr>
            <w:tcW w:w="931" w:type="dxa"/>
            <w:vAlign w:val="center"/>
          </w:tcPr>
          <w:p>
            <w:pPr>
              <w:jc w:val="center"/>
              <w:rPr>
                <w:rFonts w:hint="default" w:ascii="仿宋_GB2312" w:eastAsia="仿宋_GB2312" w:hAnsiTheme="minorHAnsi" w:cstheme="minorBidi"/>
                <w:color w:val="000000"/>
                <w:kern w:val="2"/>
                <w:sz w:val="20"/>
                <w:szCs w:val="20"/>
                <w:lang w:val="en-US" w:eastAsia="zh-CN" w:bidi="ar-SA"/>
              </w:rPr>
            </w:pPr>
          </w:p>
        </w:tc>
        <w:tc>
          <w:tcPr>
            <w:tcW w:w="931" w:type="dxa"/>
            <w:vAlign w:val="center"/>
          </w:tcPr>
          <w:p>
            <w:pPr>
              <w:jc w:val="left"/>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kern w:val="2"/>
                <w:sz w:val="20"/>
                <w:szCs w:val="20"/>
                <w:lang w:val="en-US" w:eastAsia="zh-CN" w:bidi="ar-SA"/>
              </w:rPr>
              <w:t>公共安全支出</w:t>
            </w:r>
          </w:p>
        </w:tc>
        <w:tc>
          <w:tcPr>
            <w:tcW w:w="1198" w:type="dxa"/>
            <w:vAlign w:val="center"/>
          </w:tcPr>
          <w:p>
            <w:pPr>
              <w:jc w:val="left"/>
              <w:rPr>
                <w:rFonts w:hint="eastAsia" w:ascii="仿宋_GB2312" w:hAnsi="宋体" w:eastAsia="仿宋_GB2312" w:cs="宋体"/>
                <w:color w:val="000000"/>
                <w:kern w:val="2"/>
                <w:sz w:val="20"/>
                <w:szCs w:val="20"/>
                <w:lang w:val="en-US" w:eastAsia="zh-CN" w:bidi="ar-SA"/>
              </w:rPr>
            </w:pPr>
          </w:p>
        </w:tc>
        <w:tc>
          <w:tcPr>
            <w:tcW w:w="931" w:type="dxa"/>
            <w:vAlign w:val="center"/>
          </w:tcPr>
          <w:p>
            <w:pPr>
              <w:jc w:val="right"/>
              <w:rPr>
                <w:rFonts w:hint="default" w:ascii="仿宋_GB2312" w:eastAsia="仿宋_GB2312" w:hAnsiTheme="minorHAnsi" w:cstheme="minorBidi"/>
                <w:color w:val="000000"/>
                <w:kern w:val="2"/>
                <w:sz w:val="20"/>
                <w:szCs w:val="20"/>
                <w:lang w:val="en-US" w:eastAsia="zh-CN" w:bidi="ar-SA"/>
              </w:rPr>
            </w:pPr>
          </w:p>
        </w:tc>
        <w:tc>
          <w:tcPr>
            <w:tcW w:w="931" w:type="dxa"/>
            <w:vAlign w:val="center"/>
          </w:tcPr>
          <w:p>
            <w:pPr>
              <w:jc w:val="right"/>
              <w:rPr>
                <w:rFonts w:hint="default" w:ascii="仿宋_GB2312" w:hAnsi="宋体" w:eastAsia="仿宋_GB2312" w:cs="宋体"/>
                <w:kern w:val="0"/>
                <w:sz w:val="16"/>
                <w:szCs w:val="16"/>
                <w:lang w:val="en-US" w:eastAsia="zh-CN"/>
              </w:rPr>
            </w:pP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eastAsiaTheme="minorEastAsia"/>
                <w:lang w:val="en-US" w:eastAsia="zh-CN"/>
              </w:rPr>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204</w:t>
            </w:r>
          </w:p>
        </w:tc>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931" w:type="dxa"/>
            <w:vAlign w:val="center"/>
          </w:tcPr>
          <w:p>
            <w:pPr>
              <w:jc w:val="center"/>
              <w:rPr>
                <w:rFonts w:hint="eastAsia" w:ascii="仿宋_GB2312" w:eastAsia="仿宋_GB2312"/>
                <w:color w:val="auto"/>
                <w:sz w:val="20"/>
                <w:szCs w:val="20"/>
                <w:highlight w:val="none"/>
                <w:lang w:val="en-US" w:eastAsia="zh-CN"/>
              </w:rPr>
            </w:pPr>
          </w:p>
        </w:tc>
        <w:tc>
          <w:tcPr>
            <w:tcW w:w="931"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司法</w:t>
            </w:r>
          </w:p>
        </w:tc>
        <w:tc>
          <w:tcPr>
            <w:tcW w:w="1198" w:type="dxa"/>
            <w:vAlign w:val="center"/>
          </w:tcPr>
          <w:p>
            <w:pPr>
              <w:jc w:val="left"/>
              <w:rPr>
                <w:rFonts w:hint="eastAsia" w:ascii="仿宋_GB2312" w:hAnsi="宋体" w:eastAsia="仿宋_GB2312" w:cs="宋体"/>
                <w:color w:val="000000"/>
                <w:kern w:val="2"/>
                <w:sz w:val="20"/>
                <w:szCs w:val="20"/>
                <w:lang w:val="en-US" w:eastAsia="zh-CN" w:bidi="ar-SA"/>
              </w:rPr>
            </w:pPr>
          </w:p>
        </w:tc>
        <w:tc>
          <w:tcPr>
            <w:tcW w:w="931" w:type="dxa"/>
            <w:vAlign w:val="center"/>
          </w:tcPr>
          <w:p>
            <w:pPr>
              <w:jc w:val="right"/>
              <w:rPr>
                <w:rFonts w:hint="eastAsia" w:ascii="仿宋_GB2312" w:eastAsia="仿宋_GB2312"/>
                <w:color w:val="auto"/>
                <w:sz w:val="20"/>
                <w:szCs w:val="20"/>
                <w:highlight w:val="none"/>
                <w:lang w:val="en-US" w:eastAsia="zh-CN"/>
              </w:rPr>
            </w:pPr>
          </w:p>
        </w:tc>
        <w:tc>
          <w:tcPr>
            <w:tcW w:w="931" w:type="dxa"/>
            <w:vAlign w:val="center"/>
          </w:tcPr>
          <w:p>
            <w:pPr>
              <w:jc w:val="right"/>
              <w:rPr>
                <w:rFonts w:hint="eastAsia" w:ascii="仿宋_GB2312" w:eastAsia="仿宋_GB2312"/>
                <w:color w:val="auto"/>
                <w:sz w:val="20"/>
                <w:szCs w:val="20"/>
                <w:highlight w:val="none"/>
                <w:lang w:val="en-US" w:eastAsia="zh-CN"/>
              </w:rPr>
            </w:pP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eastAsia" w:ascii="仿宋_GB2312" w:eastAsia="仿宋_GB2312"/>
                <w:color w:val="auto"/>
                <w:sz w:val="20"/>
                <w:szCs w:val="20"/>
                <w:highlight w:val="none"/>
                <w:lang w:val="en-US" w:eastAsia="zh-CN"/>
              </w:rPr>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204</w:t>
            </w:r>
          </w:p>
        </w:tc>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931"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基层司法业务</w:t>
            </w:r>
          </w:p>
        </w:tc>
        <w:tc>
          <w:tcPr>
            <w:tcW w:w="1198" w:type="dxa"/>
            <w:vAlign w:val="center"/>
          </w:tcPr>
          <w:p>
            <w:pPr>
              <w:jc w:val="left"/>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kern w:val="2"/>
                <w:sz w:val="20"/>
                <w:szCs w:val="20"/>
                <w:lang w:val="en-US" w:eastAsia="zh-CN" w:bidi="ar-SA"/>
              </w:rPr>
              <w:t>专项工作经费</w:t>
            </w:r>
          </w:p>
        </w:tc>
        <w:tc>
          <w:tcPr>
            <w:tcW w:w="931"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931" w:type="dxa"/>
            <w:vAlign w:val="center"/>
          </w:tcPr>
          <w:p>
            <w:pPr>
              <w:jc w:val="righ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204</w:t>
            </w:r>
          </w:p>
        </w:tc>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w:t>
            </w:r>
          </w:p>
        </w:tc>
        <w:tc>
          <w:tcPr>
            <w:tcW w:w="931"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普法宣传</w:t>
            </w:r>
          </w:p>
        </w:tc>
        <w:tc>
          <w:tcPr>
            <w:tcW w:w="1198" w:type="dxa"/>
            <w:vAlign w:val="center"/>
          </w:tcPr>
          <w:p>
            <w:pPr>
              <w:jc w:val="left"/>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kern w:val="2"/>
                <w:sz w:val="20"/>
                <w:szCs w:val="20"/>
                <w:lang w:val="en-US" w:eastAsia="zh-CN" w:bidi="ar-SA"/>
              </w:rPr>
              <w:t>普法宣传经费</w:t>
            </w:r>
          </w:p>
        </w:tc>
        <w:tc>
          <w:tcPr>
            <w:tcW w:w="931"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931" w:type="dxa"/>
            <w:vAlign w:val="center"/>
          </w:tcPr>
          <w:p>
            <w:pPr>
              <w:jc w:val="righ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3.00</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3.00</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center"/>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204</w:t>
            </w:r>
          </w:p>
        </w:tc>
        <w:tc>
          <w:tcPr>
            <w:tcW w:w="931" w:type="dxa"/>
            <w:vAlign w:val="center"/>
          </w:tcPr>
          <w:p>
            <w:pPr>
              <w:jc w:val="center"/>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06</w:t>
            </w:r>
          </w:p>
        </w:tc>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w:t>
            </w:r>
          </w:p>
        </w:tc>
        <w:tc>
          <w:tcPr>
            <w:tcW w:w="931"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公共法律服务</w:t>
            </w:r>
          </w:p>
        </w:tc>
        <w:tc>
          <w:tcPr>
            <w:tcW w:w="1198" w:type="dxa"/>
            <w:vAlign w:val="center"/>
          </w:tcPr>
          <w:p>
            <w:pPr>
              <w:jc w:val="left"/>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kern w:val="2"/>
                <w:sz w:val="20"/>
                <w:szCs w:val="20"/>
                <w:lang w:val="en-US" w:eastAsia="zh-CN" w:bidi="ar-SA"/>
              </w:rPr>
              <w:t>地方法律援助配套资金</w:t>
            </w:r>
          </w:p>
        </w:tc>
        <w:tc>
          <w:tcPr>
            <w:tcW w:w="931"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931" w:type="dxa"/>
            <w:vAlign w:val="center"/>
          </w:tcPr>
          <w:p>
            <w:pPr>
              <w:jc w:val="righ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19.00</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19.00</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931" w:type="dxa"/>
            <w:vAlign w:val="center"/>
          </w:tcPr>
          <w:p>
            <w:pPr>
              <w:jc w:val="center"/>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204</w:t>
            </w:r>
          </w:p>
        </w:tc>
        <w:tc>
          <w:tcPr>
            <w:tcW w:w="931" w:type="dxa"/>
            <w:vAlign w:val="center"/>
          </w:tcPr>
          <w:p>
            <w:pPr>
              <w:jc w:val="center"/>
              <w:rPr>
                <w:rFonts w:hint="eastAsia"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06</w:t>
            </w:r>
          </w:p>
        </w:tc>
        <w:tc>
          <w:tcPr>
            <w:tcW w:w="931"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931"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其他司法支出</w:t>
            </w:r>
          </w:p>
        </w:tc>
        <w:tc>
          <w:tcPr>
            <w:tcW w:w="1198" w:type="dxa"/>
            <w:vAlign w:val="center"/>
          </w:tcPr>
          <w:p>
            <w:pPr>
              <w:jc w:val="left"/>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kern w:val="2"/>
                <w:sz w:val="20"/>
                <w:szCs w:val="20"/>
                <w:lang w:val="en-US" w:eastAsia="zh-CN" w:bidi="ar-SA"/>
              </w:rPr>
              <w:t>康复中心运行经费</w:t>
            </w:r>
          </w:p>
        </w:tc>
        <w:tc>
          <w:tcPr>
            <w:tcW w:w="931"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931" w:type="dxa"/>
            <w:vAlign w:val="center"/>
          </w:tcPr>
          <w:p>
            <w:pPr>
              <w:jc w:val="righ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15.00</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ascii="仿宋_GB2312" w:eastAsia="仿宋_GB2312" w:hAnsiTheme="minorHAnsi" w:cstheme="minorBidi"/>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15.00</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931" w:type="dxa"/>
            <w:vAlign w:val="center"/>
          </w:tcPr>
          <w:p>
            <w:pPr>
              <w:jc w:val="center"/>
              <w:rPr>
                <w:rFonts w:hint="eastAsia" w:ascii="仿宋_GB2312" w:eastAsia="仿宋_GB2312"/>
                <w:color w:val="auto"/>
                <w:sz w:val="20"/>
                <w:szCs w:val="20"/>
                <w:highlight w:val="none"/>
                <w:lang w:val="en-US" w:eastAsia="zh-CN"/>
              </w:rPr>
            </w:pPr>
          </w:p>
        </w:tc>
        <w:tc>
          <w:tcPr>
            <w:tcW w:w="931" w:type="dxa"/>
            <w:vAlign w:val="center"/>
          </w:tcPr>
          <w:p>
            <w:pPr>
              <w:jc w:val="center"/>
              <w:rPr>
                <w:rFonts w:hint="eastAsia" w:ascii="仿宋_GB2312" w:eastAsia="仿宋_GB2312"/>
                <w:color w:val="auto"/>
                <w:sz w:val="20"/>
                <w:szCs w:val="20"/>
                <w:highlight w:val="none"/>
                <w:lang w:val="en-US" w:eastAsia="zh-CN"/>
              </w:rPr>
            </w:pPr>
          </w:p>
        </w:tc>
        <w:tc>
          <w:tcPr>
            <w:tcW w:w="931" w:type="dxa"/>
            <w:vAlign w:val="center"/>
          </w:tcPr>
          <w:p>
            <w:pPr>
              <w:jc w:val="center"/>
              <w:rPr>
                <w:rFonts w:hint="eastAsia" w:ascii="仿宋_GB2312" w:eastAsia="仿宋_GB2312"/>
                <w:color w:val="auto"/>
                <w:sz w:val="20"/>
                <w:szCs w:val="20"/>
                <w:highlight w:val="none"/>
                <w:lang w:val="en-US" w:eastAsia="zh-CN"/>
              </w:rPr>
            </w:pPr>
          </w:p>
        </w:tc>
        <w:tc>
          <w:tcPr>
            <w:tcW w:w="931"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合计</w:t>
            </w:r>
          </w:p>
        </w:tc>
        <w:tc>
          <w:tcPr>
            <w:tcW w:w="1198" w:type="dxa"/>
            <w:vAlign w:val="center"/>
          </w:tcPr>
          <w:p>
            <w:pPr>
              <w:jc w:val="left"/>
              <w:rPr>
                <w:rFonts w:hint="eastAsia" w:ascii="仿宋_GB2312" w:hAnsi="宋体" w:eastAsia="仿宋_GB2312" w:cs="宋体"/>
                <w:color w:val="000000"/>
                <w:kern w:val="2"/>
                <w:sz w:val="20"/>
                <w:szCs w:val="20"/>
                <w:lang w:val="en-US" w:eastAsia="zh-CN" w:bidi="ar-SA"/>
              </w:rPr>
            </w:pPr>
          </w:p>
        </w:tc>
        <w:tc>
          <w:tcPr>
            <w:tcW w:w="931"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931"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w:t>
            </w:r>
          </w:p>
        </w:tc>
        <w:tc>
          <w:tcPr>
            <w:tcW w:w="931" w:type="dxa"/>
            <w:vAlign w:val="center"/>
          </w:tcPr>
          <w:p>
            <w:pPr>
              <w:jc w:val="right"/>
              <w:rPr>
                <w:rFonts w:ascii="仿宋_GB2312" w:hAnsi="宋体" w:eastAsia="仿宋_GB2312"/>
                <w:kern w:val="0"/>
                <w:sz w:val="16"/>
                <w:szCs w:val="16"/>
              </w:rPr>
            </w:pPr>
          </w:p>
        </w:tc>
        <w:tc>
          <w:tcPr>
            <w:tcW w:w="931" w:type="dxa"/>
            <w:vAlign w:val="center"/>
          </w:tcPr>
          <w:p>
            <w:pPr>
              <w:jc w:val="right"/>
              <w:rPr>
                <w:rFonts w:hint="default" w:eastAsiaTheme="minorEastAsia"/>
                <w:lang w:val="en-US" w:eastAsia="zh-CN"/>
              </w:rPr>
            </w:pPr>
            <w:r>
              <w:rPr>
                <w:rFonts w:hint="eastAsia"/>
                <w:lang w:val="en-US" w:eastAsia="zh-CN"/>
              </w:rPr>
              <w:t>57</w:t>
            </w: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968" w:type="dxa"/>
            <w:gridSpan w:val="2"/>
            <w:vAlign w:val="center"/>
          </w:tcPr>
          <w:p>
            <w:pPr>
              <w:jc w:val="right"/>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rPr>
                <w:rFonts w:ascii="仿宋_GB2312" w:hAnsi="宋体" w:eastAsia="仿宋_GB2312"/>
                <w:kern w:val="0"/>
                <w:sz w:val="16"/>
                <w:szCs w:val="16"/>
              </w:rPr>
            </w:pPr>
          </w:p>
        </w:tc>
      </w:tr>
    </w:tbl>
    <w:p>
      <w:pPr>
        <w:rPr>
          <w:rFonts w:hint="eastAsia" w:ascii="仿宋_GB2312" w:hAnsi="仿宋_GB2312" w:eastAsia="仿宋_GB2312" w:cs="仿宋_GB2312"/>
          <w:spacing w:val="18"/>
          <w:sz w:val="32"/>
          <w:szCs w:val="32"/>
          <w:lang w:val="en-US" w:eastAsia="zh-CN"/>
        </w:rPr>
        <w:sectPr>
          <w:pgSz w:w="16838" w:h="11906" w:orient="landscape"/>
          <w:pgMar w:top="1800" w:right="1440" w:bottom="1800" w:left="1440" w:header="851" w:footer="992" w:gutter="0"/>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7693"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4"/>
        <w:gridCol w:w="692"/>
        <w:gridCol w:w="966"/>
        <w:gridCol w:w="968"/>
        <w:gridCol w:w="682"/>
        <w:gridCol w:w="965"/>
        <w:gridCol w:w="576"/>
        <w:gridCol w:w="964"/>
        <w:gridCol w:w="9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8" w:hRule="atLeast"/>
        </w:trPr>
        <w:tc>
          <w:tcPr>
            <w:tcW w:w="7693"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7693"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6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哈密市伊州区司法局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6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法律援助经费</w:t>
            </w:r>
          </w:p>
        </w:tc>
        <w:tc>
          <w:tcPr>
            <w:tcW w:w="15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姚述建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6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00" w:hRule="atLeast"/>
        </w:trPr>
        <w:tc>
          <w:tcPr>
            <w:tcW w:w="16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037"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计划使用资金10万元，法律援助案件完成数不少于150件，主要用于：（一）支付接受法律援助机构指派办理案件的律师、基层法律服务工作者和接收安排办理案件的社会组织人员、法律援助志愿者的办案补贴，包括差旅费、通讯费、文印费、调查取证费用；（二）法律援助机构办理法律援助案件的直接费用；（三）开展法律援助宣传、教育、培训、调研、检查、指导工作、对外学习交流等费用；（四）购置法律援助案件资料，卷宗档案管理设备、印刷简报、文书等费用；（五）受援人败诉后确应经济困难无力负担的劳动仲裁费用、鉴定等费用；（七）法律援助的其他必要支出。通过加大对基层法律援助机构的经费投入力度，确保法律援助工作更上新的台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0" w:hRule="atLeast"/>
        </w:trPr>
        <w:tc>
          <w:tcPr>
            <w:tcW w:w="9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6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6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80" w:hRule="atLeast"/>
        </w:trPr>
        <w:tc>
          <w:tcPr>
            <w:tcW w:w="9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6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法律援助案件完成数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&gt;=150件</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162件</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0" w:hRule="atLeast"/>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接待法律援助咨询人数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&gt;=100人</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100人</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20" w:hRule="atLeast"/>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法律援助案件合格率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80" w:hRule="atLeast"/>
        </w:trPr>
        <w:tc>
          <w:tcPr>
            <w:tcW w:w="9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补贴发放及时率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完成法律援助所需成本</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&lt;=10万元</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40" w:hRule="atLeast"/>
        </w:trPr>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提高法律公平公正</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明显提高</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受援人员满意度</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42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
        <w:gridCol w:w="963"/>
        <w:gridCol w:w="966"/>
        <w:gridCol w:w="970"/>
        <w:gridCol w:w="966"/>
        <w:gridCol w:w="668"/>
        <w:gridCol w:w="576"/>
        <w:gridCol w:w="963"/>
        <w:gridCol w:w="13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8" w:hRule="atLeast"/>
        </w:trPr>
        <w:tc>
          <w:tcPr>
            <w:tcW w:w="84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84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49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哈密市伊州区司法局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普法宣传经费</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姚述建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96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49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通过本项目2024年普法宣传经费主要用于伊州区国家工作人员网络学法用法和无纸化考试工作的系统费，促进依法行政能力提升认可度。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0" w:hRule="atLeast"/>
        </w:trPr>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3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开展年度考法次数</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参加考试人数</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&gt;=5985人</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考试完成合格率</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参加考试及时率</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完成普法宣传任务成本</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&lt;=3万元</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依法行政能力提升认可度</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干部学法用法满意度</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uSuan" w:date="2024-06-03T12:31:12Z" w:initials="Y">
    <w:p w14:paraId="76771DBF">
      <w:pPr>
        <w:pStyle w:val="2"/>
        <w:rPr>
          <w:rFonts w:hint="default" w:eastAsiaTheme="minorEastAsia"/>
          <w:lang w:val="en-US" w:eastAsia="zh-CN"/>
        </w:rPr>
      </w:pPr>
      <w:r>
        <w:rPr>
          <w:rFonts w:hint="eastAsia"/>
          <w:lang w:val="en-US" w:eastAsia="zh-CN"/>
        </w:rPr>
        <w:t>年初项目支出总数</w:t>
      </w:r>
    </w:p>
  </w:comment>
  <w:comment w:id="1" w:author="YuSuan" w:date="2024-06-03T12:31:33Z" w:initials="Y">
    <w:p w14:paraId="63802E59">
      <w:pPr>
        <w:pStyle w:val="2"/>
        <w:rPr>
          <w:rFonts w:hint="default" w:eastAsiaTheme="minorEastAsia"/>
          <w:lang w:val="en-US" w:eastAsia="zh-CN"/>
        </w:rPr>
      </w:pPr>
      <w:r>
        <w:rPr>
          <w:rFonts w:hint="eastAsia"/>
          <w:lang w:val="en-US" w:eastAsia="zh-CN"/>
        </w:rPr>
        <w:t>调整后金额=年初项目支出数+新增项目支出数+调增项目支出数-调减项目支出数</w:t>
      </w:r>
    </w:p>
  </w:comment>
  <w:comment w:id="2" w:author="YuSuan" w:date="2024-05-24T11:42:42Z" w:initials="Y">
    <w:p w14:paraId="18DC04D8">
      <w:pPr>
        <w:pStyle w:val="2"/>
        <w:rPr>
          <w:rFonts w:hint="default" w:eastAsiaTheme="minorEastAsia"/>
          <w:lang w:val="en-US" w:eastAsia="zh-CN"/>
        </w:rPr>
      </w:pPr>
      <w:r>
        <w:rPr>
          <w:rFonts w:hint="eastAsia"/>
          <w:lang w:val="en-US" w:eastAsia="zh-CN"/>
        </w:rPr>
        <w:t>年初项目支出总数</w:t>
      </w:r>
    </w:p>
  </w:comment>
  <w:comment w:id="3" w:author="YuSuan" w:date="2024-05-24T11:42:58Z" w:initials="Y">
    <w:p w14:paraId="54330559">
      <w:pPr>
        <w:pStyle w:val="2"/>
        <w:rPr>
          <w:rFonts w:hint="default" w:eastAsiaTheme="minorEastAsia"/>
          <w:lang w:val="en-US" w:eastAsia="zh-CN"/>
        </w:rPr>
      </w:pPr>
      <w:r>
        <w:rPr>
          <w:rFonts w:hint="eastAsia"/>
          <w:lang w:val="en-US" w:eastAsia="zh-CN"/>
        </w:rPr>
        <w:t>调整后项目支出总数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6771DBF" w15:done="0"/>
  <w15:commentEx w15:paraId="63802E59" w15:done="0"/>
  <w15:commentEx w15:paraId="18DC04D8" w15:done="0"/>
  <w15:commentEx w15:paraId="5433055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uan">
    <w15:presenceInfo w15:providerId="None" w15:userId="YuS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74B53"/>
    <w:rsid w:val="09F356BE"/>
    <w:rsid w:val="0A8A3F4F"/>
    <w:rsid w:val="0DB35977"/>
    <w:rsid w:val="10573940"/>
    <w:rsid w:val="10C14D88"/>
    <w:rsid w:val="1E8C3A51"/>
    <w:rsid w:val="1F945345"/>
    <w:rsid w:val="22AA5687"/>
    <w:rsid w:val="22E65A86"/>
    <w:rsid w:val="24C538F5"/>
    <w:rsid w:val="3D13222F"/>
    <w:rsid w:val="3F2A1D89"/>
    <w:rsid w:val="43661FA0"/>
    <w:rsid w:val="43EB39D1"/>
    <w:rsid w:val="44890DFE"/>
    <w:rsid w:val="44B94F88"/>
    <w:rsid w:val="47CC3159"/>
    <w:rsid w:val="482F1EF9"/>
    <w:rsid w:val="4CC204C9"/>
    <w:rsid w:val="569E1925"/>
    <w:rsid w:val="614D672E"/>
    <w:rsid w:val="68E1201D"/>
    <w:rsid w:val="68F86BD4"/>
    <w:rsid w:val="73950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17</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2024-07-09T08:39:06Z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175A2C35841C404BB44C535663E90523</vt:lpwstr>
  </property>
</Properties>
</file>