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/>
        <w:jc w:val="center"/>
        <w:outlineLvl w:val="1"/>
        <w:rPr>
          <w:rFonts w:ascii="仿宋_GB2312" w:hAnsi="仿宋_GB2312" w:eastAsia="仿宋_GB2312" w:cs="仿宋_GB2312"/>
          <w:spacing w:val="5"/>
          <w:sz w:val="32"/>
          <w:szCs w:val="32"/>
        </w:rPr>
      </w:pPr>
      <w:r>
        <w:rPr>
          <w:rFonts w:hint="eastAsia" w:ascii="方正小标宋_GBK" w:hAnsi="宋体" w:eastAsia="方正小标宋_GBK" w:cs="方正小标宋_GBK"/>
          <w:kern w:val="0"/>
          <w:sz w:val="44"/>
          <w:szCs w:val="44"/>
        </w:rPr>
        <w:t>关于</w:t>
      </w:r>
      <w:bookmarkStart w:id="0" w:name="_GoBack"/>
      <w:r>
        <w:rPr>
          <w:rFonts w:hint="eastAsia" w:ascii="方正小标宋_GBK" w:hAnsi="宋体" w:eastAsia="方正小标宋_GBK" w:cs="方正小标宋_GBK"/>
          <w:kern w:val="0"/>
          <w:sz w:val="44"/>
          <w:szCs w:val="44"/>
        </w:rPr>
        <w:t>哈密市伊州区双井子乡人民政府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2024年部门调整预算公开</w:t>
      </w:r>
      <w:bookmarkEnd w:id="0"/>
      <w:r>
        <w:rPr>
          <w:rFonts w:hint="eastAsia" w:ascii="方正小标宋_GBK" w:hAnsi="宋体" w:eastAsia="方正小标宋_GBK"/>
          <w:kern w:val="0"/>
          <w:sz w:val="44"/>
          <w:szCs w:val="44"/>
        </w:rPr>
        <w:t>的说明</w:t>
      </w:r>
    </w:p>
    <w:p>
      <w:pPr>
        <w:numPr>
          <w:ilvl w:val="0"/>
          <w:numId w:val="1"/>
        </w:numPr>
        <w:spacing w:line="560" w:lineRule="exact"/>
        <w:ind w:firstLine="663" w:firstLineChars="200"/>
        <w:rPr>
          <w:rFonts w:ascii="仿宋_GB2312" w:hAnsi="仿宋_GB2312" w:eastAsia="仿宋_GB2312" w:cs="仿宋_GB2312"/>
          <w:b/>
          <w:bCs/>
          <w:spacing w:val="5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</w:rPr>
        <w:t>预算调整情况</w:t>
      </w:r>
    </w:p>
    <w:p>
      <w:pPr>
        <w:spacing w:line="560" w:lineRule="exact"/>
        <w:ind w:firstLine="660" w:firstLineChars="200"/>
        <w:rPr>
          <w:rFonts w:ascii="仿宋_GB2312" w:hAnsi="仿宋_GB2312" w:eastAsia="仿宋_GB2312" w:cs="仿宋_GB2312"/>
          <w:spacing w:val="18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根据《中华人民共和国预算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法》、《预算法实施条例》，经伊州区二届人大常委会第二十二次会议批准，2024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年我单位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项目支出由年初0元调整为2.16万元。</w:t>
      </w:r>
    </w:p>
    <w:p>
      <w:pPr>
        <w:numPr>
          <w:ilvl w:val="0"/>
          <w:numId w:val="1"/>
        </w:numPr>
        <w:spacing w:line="560" w:lineRule="exact"/>
        <w:ind w:firstLine="715" w:firstLineChars="200"/>
        <w:rPr>
          <w:rFonts w:ascii="仿宋_GB2312" w:hAnsi="仿宋_GB2312" w:eastAsia="仿宋_GB2312" w:cs="仿宋_GB2312"/>
          <w:b/>
          <w:bCs/>
          <w:spacing w:val="18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18"/>
          <w:sz w:val="32"/>
          <w:szCs w:val="32"/>
        </w:rPr>
        <w:t>绩效目标调整情况</w:t>
      </w:r>
    </w:p>
    <w:p>
      <w:pPr>
        <w:spacing w:line="560" w:lineRule="exact"/>
        <w:ind w:left="420" w:leftChars="200"/>
        <w:rPr>
          <w:rFonts w:ascii="仿宋_GB2312" w:hAnsi="仿宋_GB2312" w:eastAsia="仿宋_GB2312" w:cs="仿宋_GB2312"/>
          <w:spacing w:val="18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因项目金额发生变化，原项目绩效目标同步调整。</w:t>
      </w:r>
    </w:p>
    <w:p>
      <w:pPr>
        <w:spacing w:line="560" w:lineRule="exact"/>
        <w:rPr>
          <w:rFonts w:ascii="仿宋_GB2312" w:hAnsi="仿宋_GB2312" w:eastAsia="仿宋_GB2312" w:cs="仿宋_GB2312"/>
          <w:spacing w:val="18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 xml:space="preserve">  具体情况详见附件。</w:t>
      </w:r>
    </w:p>
    <w:p>
      <w:pPr>
        <w:spacing w:line="560" w:lineRule="exact"/>
        <w:ind w:firstLine="356" w:firstLineChars="100"/>
        <w:rPr>
          <w:rFonts w:ascii="仿宋_GB2312" w:hAnsi="仿宋_GB2312" w:eastAsia="仿宋_GB2312" w:cs="仿宋_GB2312"/>
          <w:spacing w:val="18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附件一：伊州区哈密市伊州双井子乡人民政府项目支出表</w:t>
      </w:r>
    </w:p>
    <w:p>
      <w:pPr>
        <w:spacing w:line="560" w:lineRule="exact"/>
        <w:ind w:firstLine="356" w:firstLineChars="100"/>
        <w:rPr>
          <w:rFonts w:ascii="仿宋_GB2312" w:hAnsi="仿宋_GB2312" w:eastAsia="仿宋_GB2312" w:cs="仿宋_GB2312"/>
          <w:spacing w:val="18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附件二：项目绩效目标调整情况表（与原项目绩效目标表表样相同）</w:t>
      </w:r>
    </w:p>
    <w:p>
      <w:pPr>
        <w:rPr>
          <w:rFonts w:ascii="仿宋_GB2312" w:hAnsi="仿宋_GB2312" w:eastAsia="仿宋_GB2312" w:cs="仿宋_GB2312"/>
          <w:spacing w:val="18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br w:type="page"/>
      </w:r>
    </w:p>
    <w:p>
      <w:pPr>
        <w:spacing w:line="560" w:lineRule="exact"/>
        <w:rPr>
          <w:rFonts w:ascii="仿宋_GB2312" w:hAnsi="仿宋_GB2312" w:eastAsia="仿宋_GB2312" w:cs="仿宋_GB2312"/>
          <w:spacing w:val="18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附件一</w:t>
      </w:r>
    </w:p>
    <w:tbl>
      <w:tblPr>
        <w:tblStyle w:val="3"/>
        <w:tblW w:w="1512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"/>
        <w:gridCol w:w="931"/>
        <w:gridCol w:w="709"/>
        <w:gridCol w:w="1417"/>
        <w:gridCol w:w="934"/>
        <w:gridCol w:w="931"/>
        <w:gridCol w:w="931"/>
        <w:gridCol w:w="931"/>
        <w:gridCol w:w="931"/>
        <w:gridCol w:w="931"/>
        <w:gridCol w:w="932"/>
        <w:gridCol w:w="932"/>
        <w:gridCol w:w="36"/>
        <w:gridCol w:w="730"/>
        <w:gridCol w:w="730"/>
        <w:gridCol w:w="730"/>
        <w:gridCol w:w="731"/>
        <w:gridCol w:w="73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1441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编制部门:</w:t>
            </w:r>
            <w:r>
              <w:rPr>
                <w:rFonts w:hint="eastAsia" w:ascii="仿宋_GB2312" w:hAnsi="仿宋_GB2312" w:eastAsia="仿宋_GB2312" w:cs="仿宋_GB2312"/>
                <w:spacing w:val="18"/>
                <w:sz w:val="32"/>
                <w:szCs w:val="32"/>
              </w:rPr>
              <w:t>哈密市伊州区双井子乡人民政府</w:t>
            </w:r>
          </w:p>
        </w:tc>
        <w:tc>
          <w:tcPr>
            <w:tcW w:w="3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单位:万元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2571" w:type="dxa"/>
            <w:gridSpan w:val="3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科 目 编 码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科目</w:t>
            </w:r>
          </w:p>
        </w:tc>
        <w:tc>
          <w:tcPr>
            <w:tcW w:w="934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Calibri" w:hAnsi="Calibri" w:eastAsia="宋体" w:cs="Times New Roman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年初项目支出合计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调整后项目支出合计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工资福利支出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商品和服务支出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对个人和家庭的补助</w:t>
            </w:r>
          </w:p>
        </w:tc>
        <w:tc>
          <w:tcPr>
            <w:tcW w:w="932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债务利息及费用支出</w:t>
            </w:r>
          </w:p>
        </w:tc>
        <w:tc>
          <w:tcPr>
            <w:tcW w:w="968" w:type="dxa"/>
            <w:gridSpan w:val="2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资本性支出（基本建设）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资本性支出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对企业补助（基本建设）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对企业补助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对社会保障基金补助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4" w:hRule="atLeast"/>
          <w:jc w:val="center"/>
        </w:trPr>
        <w:tc>
          <w:tcPr>
            <w:tcW w:w="9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名称</w:t>
            </w:r>
          </w:p>
        </w:tc>
        <w:tc>
          <w:tcPr>
            <w:tcW w:w="934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2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※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※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※</w:t>
            </w:r>
          </w:p>
        </w:tc>
        <w:tc>
          <w:tcPr>
            <w:tcW w:w="93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968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73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73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3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7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7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99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其他政府办公厅（室）及相关机构事务</w:t>
            </w:r>
          </w:p>
        </w:tc>
        <w:tc>
          <w:tcPr>
            <w:tcW w:w="93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代理记账费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2.16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2.16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9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934" w:type="dxa"/>
            <w:vAlign w:val="center"/>
          </w:tcPr>
          <w:p>
            <w:pPr>
              <w:jc w:val="left"/>
            </w:pPr>
          </w:p>
        </w:tc>
        <w:tc>
          <w:tcPr>
            <w:tcW w:w="93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2.16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</w:pPr>
          </w:p>
        </w:tc>
        <w:tc>
          <w:tcPr>
            <w:tcW w:w="93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2.16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</w:pPr>
          </w:p>
        </w:tc>
        <w:tc>
          <w:tcPr>
            <w:tcW w:w="932" w:type="dxa"/>
            <w:vAlign w:val="center"/>
          </w:tcPr>
          <w:p>
            <w:pPr>
              <w:jc w:val="center"/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730" w:type="dxa"/>
            <w:vAlign w:val="center"/>
          </w:tcPr>
          <w:p>
            <w:pPr>
              <w:jc w:val="center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</w:tbl>
    <w:p>
      <w:pPr>
        <w:rPr>
          <w:rFonts w:ascii="仿宋_GB2312" w:hAnsi="仿宋_GB2312" w:eastAsia="仿宋_GB2312" w:cs="仿宋_GB2312"/>
          <w:spacing w:val="18"/>
          <w:sz w:val="32"/>
          <w:szCs w:val="32"/>
        </w:rPr>
        <w:sectPr>
          <w:pgSz w:w="16838" w:h="11906" w:orient="landscape"/>
          <w:pgMar w:top="720" w:right="720" w:bottom="720" w:left="720" w:header="851" w:footer="992" w:gutter="0"/>
          <w:cols w:space="425" w:num="1"/>
          <w:docGrid w:type="lines" w:linePitch="312" w:charSpace="0"/>
        </w:sectPr>
      </w:pPr>
    </w:p>
    <w:p>
      <w:pPr>
        <w:rPr>
          <w:rFonts w:ascii="仿宋_GB2312" w:hAnsi="仿宋_GB2312" w:eastAsia="仿宋_GB2312" w:cs="仿宋_GB2312"/>
          <w:spacing w:val="18"/>
          <w:sz w:val="32"/>
          <w:szCs w:val="32"/>
        </w:rPr>
      </w:pPr>
    </w:p>
    <w:p>
      <w:pPr>
        <w:spacing w:line="560" w:lineRule="exact"/>
        <w:rPr>
          <w:rFonts w:ascii="仿宋_GB2312" w:hAnsi="仿宋_GB2312" w:eastAsia="仿宋_GB2312" w:cs="仿宋_GB2312"/>
          <w:spacing w:val="18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附件二</w:t>
      </w:r>
    </w:p>
    <w:tbl>
      <w:tblPr>
        <w:tblStyle w:val="3"/>
        <w:tblW w:w="8922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1"/>
        <w:gridCol w:w="1328"/>
        <w:gridCol w:w="966"/>
        <w:gridCol w:w="795"/>
        <w:gridCol w:w="996"/>
        <w:gridCol w:w="786"/>
        <w:gridCol w:w="1123"/>
        <w:gridCol w:w="1000"/>
        <w:gridCol w:w="1027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</w:rPr>
              <w:t>项  目  支  出  绩  效  目  标  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(2024年)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哈密市伊州区双井子乡人民政府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27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szCs w:val="21"/>
                <w:shd w:val="clear" w:color="auto" w:fill="FFFFFF"/>
              </w:rPr>
              <w:t>代理记账费</w:t>
            </w:r>
          </w:p>
        </w:tc>
        <w:tc>
          <w:tcPr>
            <w:tcW w:w="19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艾力夏提·艾沙木丁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2.16</w:t>
            </w:r>
          </w:p>
        </w:tc>
        <w:tc>
          <w:tcPr>
            <w:tcW w:w="9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其中：财政拨款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2.16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其他资金：</w:t>
            </w:r>
          </w:p>
        </w:tc>
        <w:tc>
          <w:tcPr>
            <w:tcW w:w="2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33333"/>
                <w:sz w:val="18"/>
                <w:szCs w:val="18"/>
                <w:shd w:val="clear" w:color="auto" w:fill="FFFFFF"/>
              </w:rPr>
              <w:t>通过委托专业第三方进行代理记账工作，进一步规范乡镇单位会计核算，提高财务管理水平。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指标值设置依据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上年完成值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指标分值权重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指标赋分规则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佐证资料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购买代理记账业务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＞=1个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计划标准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1个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按照正常比例赋分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工作资料,说明材料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记账质量合格率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=100%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计划标准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100%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按照正常比例赋分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工作资料,说明材料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购买代理记账资金使用合规率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=100%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计划标准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-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按照正常比例赋分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工作资料,说明材料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购买代理记账费用支付及时率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=100%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计划标准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100%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按照正常比例赋分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工作资料,说明材料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账目登记及时率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=100%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计划标准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-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按照正常比例赋分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工作资料,说明材料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记账费用总额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=2.16万元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预算支出标准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-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20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按照正常比例赋分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原始凭证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保障各项工作顺利开展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有效保障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计划标准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-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20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按评判等级赋分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工作资料,说明材料</w:t>
            </w:r>
          </w:p>
        </w:tc>
      </w:tr>
    </w:tbl>
    <w:p>
      <w:pPr>
        <w:rPr>
          <w:rFonts w:ascii="仿宋_GB2312" w:hAnsi="仿宋_GB2312" w:eastAsia="仿宋_GB2312" w:cs="仿宋_GB2312"/>
          <w:spacing w:val="18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7AE5875"/>
    <w:multiLevelType w:val="singleLevel"/>
    <w:tmpl w:val="B7AE587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28E"/>
    <w:rsid w:val="00030E60"/>
    <w:rsid w:val="0034695B"/>
    <w:rsid w:val="00567740"/>
    <w:rsid w:val="0058428E"/>
    <w:rsid w:val="008D53DF"/>
    <w:rsid w:val="0097632E"/>
    <w:rsid w:val="00B500CA"/>
    <w:rsid w:val="00D822AD"/>
    <w:rsid w:val="05274B53"/>
    <w:rsid w:val="08AA1CAC"/>
    <w:rsid w:val="0A8A3F4F"/>
    <w:rsid w:val="0D7F0470"/>
    <w:rsid w:val="10573940"/>
    <w:rsid w:val="11671099"/>
    <w:rsid w:val="1E8C3A51"/>
    <w:rsid w:val="1F945345"/>
    <w:rsid w:val="22AA5687"/>
    <w:rsid w:val="22E65A86"/>
    <w:rsid w:val="24C538F5"/>
    <w:rsid w:val="2D3B109D"/>
    <w:rsid w:val="357B4D9D"/>
    <w:rsid w:val="3F2A1D89"/>
    <w:rsid w:val="43EB39D1"/>
    <w:rsid w:val="44B94F88"/>
    <w:rsid w:val="623E1014"/>
    <w:rsid w:val="62F02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customStyle="1" w:styleId="5">
    <w:name w:val="font11"/>
    <w:basedOn w:val="4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167</Words>
  <Characters>954</Characters>
  <Lines>7</Lines>
  <Paragraphs>2</Paragraphs>
  <TotalTime>12</TotalTime>
  <ScaleCrop>false</ScaleCrop>
  <LinksUpToDate>false</LinksUpToDate>
  <CharactersWithSpaces>1119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2024-06-05T07:37:00Z</dcterms:created>
  <dc:creator>YuSuan</dc:creator>
  <cp:lastModifiedBy>YuSuan</cp:lastModifiedBy>
  <dcterms:modified xsi:type="dcterms:W3CDTF">2024-07-12T02:45:05Z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  <property fmtid="{D5CDD505-2E9C-101B-9397-08002B2CF9AE}" pid="3" name="ICV">
    <vt:lpwstr>EAE646C89EDE4D568DC0DD3F5B2165E3</vt:lpwstr>
  </property>
</Properties>
</file>