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cs="方正小标宋_GBK"/>
          <w:kern w:val="0"/>
          <w:sz w:val="44"/>
          <w:szCs w:val="44"/>
          <w:lang w:val="en-US" w:eastAsia="zh-CN"/>
        </w:rPr>
        <w:t>关于</w:t>
      </w:r>
      <w:bookmarkStart w:id="0" w:name="_GoBack"/>
      <w:r>
        <w:rPr>
          <w:rFonts w:hint="eastAsia" w:ascii="方正小标宋_GBK" w:hAnsi="宋体" w:eastAsia="方正小标宋_GBK" w:cs="方正小标宋_GBK"/>
          <w:kern w:val="0"/>
          <w:sz w:val="44"/>
          <w:szCs w:val="44"/>
        </w:rPr>
        <w:t>哈密市伊州区农业农村局</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color w:val="auto"/>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w:t>
      </w:r>
      <w:r>
        <w:rPr>
          <w:rFonts w:hint="eastAsia" w:ascii="仿宋_GB2312" w:hAnsi="仿宋_GB2312" w:eastAsia="仿宋_GB2312" w:cs="仿宋_GB2312"/>
          <w:color w:val="auto"/>
          <w:spacing w:val="18"/>
          <w:sz w:val="32"/>
          <w:szCs w:val="32"/>
          <w:lang w:val="en-US" w:eastAsia="zh-CN"/>
        </w:rPr>
        <w:t>位</w:t>
      </w:r>
      <w:commentRangeStart w:id="0"/>
      <w:r>
        <w:rPr>
          <w:rFonts w:hint="eastAsia" w:ascii="仿宋_GB2312" w:hAnsi="仿宋_GB2312" w:eastAsia="仿宋_GB2312" w:cs="仿宋_GB2312"/>
          <w:color w:val="auto"/>
          <w:spacing w:val="18"/>
          <w:sz w:val="32"/>
          <w:szCs w:val="32"/>
          <w:highlight w:val="none"/>
          <w:lang w:val="en-US" w:eastAsia="zh-CN"/>
        </w:rPr>
        <w:t>项目支出由年初15753.19万元</w:t>
      </w:r>
      <w:commentRangeEnd w:id="0"/>
      <w:r>
        <w:rPr>
          <w:color w:val="auto"/>
        </w:rPr>
        <w:commentReference w:id="0"/>
      </w:r>
      <w:commentRangeStart w:id="1"/>
      <w:r>
        <w:rPr>
          <w:rFonts w:hint="eastAsia" w:ascii="仿宋_GB2312" w:hAnsi="仿宋_GB2312" w:eastAsia="仿宋_GB2312" w:cs="仿宋_GB2312"/>
          <w:color w:val="auto"/>
          <w:spacing w:val="18"/>
          <w:sz w:val="32"/>
          <w:szCs w:val="32"/>
          <w:highlight w:val="none"/>
          <w:lang w:val="en-US" w:eastAsia="zh-CN"/>
        </w:rPr>
        <w:t>调整为21320.5万元</w:t>
      </w:r>
      <w:commentRangeEnd w:id="1"/>
      <w:r>
        <w:rPr>
          <w:color w:val="auto"/>
        </w:rPr>
        <w:commentReference w:id="1"/>
      </w:r>
      <w:r>
        <w:rPr>
          <w:rFonts w:hint="eastAsia" w:ascii="仿宋_GB2312" w:hAnsi="仿宋_GB2312" w:eastAsia="仿宋_GB2312" w:cs="仿宋_GB2312"/>
          <w:color w:val="auto"/>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附件一：伊州区农业农村局项目支出表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129" w:type="dxa"/>
        <w:jc w:val="center"/>
        <w:tblInd w:w="0" w:type="dxa"/>
        <w:tblLayout w:type="fixed"/>
        <w:tblCellMar>
          <w:top w:w="0" w:type="dxa"/>
          <w:left w:w="108" w:type="dxa"/>
          <w:bottom w:w="0" w:type="dxa"/>
          <w:right w:w="108" w:type="dxa"/>
        </w:tblCellMar>
      </w:tblPr>
      <w:tblGrid>
        <w:gridCol w:w="615"/>
        <w:gridCol w:w="675"/>
        <w:gridCol w:w="675"/>
        <w:gridCol w:w="1365"/>
        <w:gridCol w:w="1815"/>
        <w:gridCol w:w="1200"/>
        <w:gridCol w:w="1005"/>
        <w:gridCol w:w="365"/>
        <w:gridCol w:w="931"/>
        <w:gridCol w:w="1104"/>
        <w:gridCol w:w="759"/>
        <w:gridCol w:w="932"/>
        <w:gridCol w:w="889"/>
        <w:gridCol w:w="607"/>
        <w:gridCol w:w="730"/>
        <w:gridCol w:w="731"/>
        <w:gridCol w:w="731"/>
      </w:tblGrid>
      <w:tr>
        <w:tblPrEx>
          <w:tblLayout w:type="fixed"/>
          <w:tblCellMar>
            <w:top w:w="0" w:type="dxa"/>
            <w:left w:w="108" w:type="dxa"/>
            <w:bottom w:w="0" w:type="dxa"/>
            <w:right w:w="108" w:type="dxa"/>
          </w:tblCellMar>
        </w:tblPrEx>
        <w:trPr>
          <w:trHeight w:val="476" w:hRule="atLeast"/>
          <w:jc w:val="center"/>
        </w:trPr>
        <w:tc>
          <w:tcPr>
            <w:tcW w:w="11441"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编制部门哈密市伊州区农业农村局</w:t>
            </w:r>
          </w:p>
        </w:tc>
        <w:tc>
          <w:tcPr>
            <w:tcW w:w="3688" w:type="dxa"/>
            <w:gridSpan w:val="5"/>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1965"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1365"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1815"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120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2"/>
            <w:r>
              <w:rPr>
                <w:rFonts w:hint="eastAsia" w:ascii="仿宋_GB2312" w:hAnsi="宋体" w:eastAsia="仿宋_GB2312" w:cs="仿宋_GB2312"/>
                <w:b/>
                <w:i w:val="0"/>
                <w:color w:val="000000"/>
                <w:kern w:val="0"/>
                <w:sz w:val="20"/>
                <w:szCs w:val="20"/>
                <w:u w:val="none"/>
                <w:lang w:val="en-US" w:eastAsia="zh-CN" w:bidi="ar"/>
              </w:rPr>
              <w:t>年初项目支出合计</w:t>
            </w:r>
            <w:commentRangeEnd w:id="2"/>
            <w:r>
              <w:commentReference w:id="2"/>
            </w:r>
          </w:p>
        </w:tc>
        <w:tc>
          <w:tcPr>
            <w:tcW w:w="1005"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3"/>
            <w:r>
              <w:rPr>
                <w:rFonts w:hint="eastAsia" w:ascii="仿宋_GB2312" w:hAnsi="宋体" w:eastAsia="仿宋_GB2312" w:cs="仿宋_GB2312"/>
                <w:b/>
                <w:i w:val="0"/>
                <w:color w:val="000000"/>
                <w:kern w:val="0"/>
                <w:sz w:val="20"/>
                <w:szCs w:val="20"/>
                <w:u w:val="none"/>
                <w:lang w:val="en-US" w:eastAsia="zh-CN" w:bidi="ar"/>
              </w:rPr>
              <w:t>调整后项目支出合计</w:t>
            </w:r>
            <w:commentRangeEnd w:id="3"/>
            <w:r>
              <w:commentReference w:id="3"/>
            </w:r>
          </w:p>
        </w:tc>
        <w:tc>
          <w:tcPr>
            <w:tcW w:w="365"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31"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1104"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759"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932"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889"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607"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jc w:val="center"/>
        </w:trPr>
        <w:tc>
          <w:tcPr>
            <w:tcW w:w="615"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675"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675"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1365"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1815" w:type="dxa"/>
            <w:vMerge w:val="continue"/>
            <w:vAlign w:val="center"/>
          </w:tcPr>
          <w:p>
            <w:pPr>
              <w:jc w:val="center"/>
            </w:pPr>
          </w:p>
        </w:tc>
        <w:tc>
          <w:tcPr>
            <w:tcW w:w="1200" w:type="dxa"/>
            <w:vMerge w:val="continue"/>
            <w:vAlign w:val="center"/>
          </w:tcPr>
          <w:p>
            <w:pPr>
              <w:jc w:val="center"/>
              <w:rPr>
                <w:rFonts w:ascii="仿宋_GB2312" w:hAnsi="宋体" w:eastAsia="仿宋_GB2312"/>
                <w:b/>
                <w:kern w:val="0"/>
                <w:sz w:val="20"/>
                <w:szCs w:val="20"/>
              </w:rPr>
            </w:pPr>
          </w:p>
        </w:tc>
        <w:tc>
          <w:tcPr>
            <w:tcW w:w="1005" w:type="dxa"/>
            <w:vMerge w:val="continue"/>
            <w:vAlign w:val="center"/>
          </w:tcPr>
          <w:p>
            <w:pPr>
              <w:jc w:val="center"/>
              <w:rPr>
                <w:rFonts w:ascii="仿宋_GB2312" w:hAnsi="宋体" w:eastAsia="仿宋_GB2312"/>
                <w:b/>
                <w:kern w:val="0"/>
                <w:sz w:val="20"/>
                <w:szCs w:val="20"/>
              </w:rPr>
            </w:pPr>
          </w:p>
        </w:tc>
        <w:tc>
          <w:tcPr>
            <w:tcW w:w="365"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pPr>
          </w:p>
        </w:tc>
        <w:tc>
          <w:tcPr>
            <w:tcW w:w="1104" w:type="dxa"/>
            <w:vMerge w:val="continue"/>
            <w:vAlign w:val="center"/>
          </w:tcPr>
          <w:p>
            <w:pPr>
              <w:jc w:val="center"/>
              <w:rPr>
                <w:rFonts w:ascii="仿宋_GB2312" w:hAnsi="宋体" w:eastAsia="仿宋_GB2312"/>
                <w:b/>
                <w:kern w:val="0"/>
                <w:sz w:val="20"/>
                <w:szCs w:val="20"/>
              </w:rPr>
            </w:pPr>
          </w:p>
        </w:tc>
        <w:tc>
          <w:tcPr>
            <w:tcW w:w="759" w:type="dxa"/>
            <w:vMerge w:val="continue"/>
            <w:vAlign w:val="center"/>
          </w:tcPr>
          <w:p>
            <w:pPr>
              <w:jc w:val="center"/>
              <w:rPr>
                <w:rFonts w:ascii="仿宋_GB2312" w:hAnsi="宋体" w:eastAsia="仿宋_GB2312"/>
                <w:b/>
                <w:kern w:val="0"/>
                <w:sz w:val="20"/>
                <w:szCs w:val="20"/>
              </w:rPr>
            </w:pPr>
          </w:p>
        </w:tc>
        <w:tc>
          <w:tcPr>
            <w:tcW w:w="932" w:type="dxa"/>
            <w:vMerge w:val="continue"/>
            <w:vAlign w:val="center"/>
          </w:tcPr>
          <w:p>
            <w:pPr>
              <w:jc w:val="center"/>
              <w:rPr>
                <w:rFonts w:ascii="仿宋_GB2312" w:hAnsi="宋体" w:eastAsia="仿宋_GB2312"/>
                <w:b/>
                <w:kern w:val="0"/>
                <w:sz w:val="20"/>
                <w:szCs w:val="20"/>
              </w:rPr>
            </w:pPr>
          </w:p>
        </w:tc>
        <w:tc>
          <w:tcPr>
            <w:tcW w:w="889" w:type="dxa"/>
            <w:vMerge w:val="continue"/>
            <w:vAlign w:val="center"/>
          </w:tcPr>
          <w:p>
            <w:pPr>
              <w:jc w:val="center"/>
              <w:rPr>
                <w:rFonts w:ascii="仿宋_GB2312" w:hAnsi="宋体" w:eastAsia="仿宋_GB2312"/>
                <w:b/>
                <w:kern w:val="0"/>
                <w:sz w:val="20"/>
                <w:szCs w:val="20"/>
              </w:rPr>
            </w:pPr>
          </w:p>
        </w:tc>
        <w:tc>
          <w:tcPr>
            <w:tcW w:w="607"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67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67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36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815"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120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100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36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31"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1104"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759"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932"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889"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607"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210</w:t>
            </w:r>
          </w:p>
        </w:tc>
        <w:tc>
          <w:tcPr>
            <w:tcW w:w="675" w:type="dxa"/>
            <w:vAlign w:val="center"/>
          </w:tcPr>
          <w:p>
            <w:pPr>
              <w:jc w:val="left"/>
              <w:rPr>
                <w:rFonts w:ascii="仿宋_GB2312" w:hAnsi="宋体" w:eastAsia="仿宋_GB2312"/>
                <w:kern w:val="0"/>
                <w:sz w:val="16"/>
                <w:szCs w:val="16"/>
              </w:rPr>
            </w:pPr>
          </w:p>
        </w:tc>
        <w:tc>
          <w:tcPr>
            <w:tcW w:w="675" w:type="dxa"/>
            <w:vAlign w:val="center"/>
          </w:tcPr>
          <w:p>
            <w:pPr>
              <w:jc w:val="left"/>
              <w:rPr>
                <w:rFonts w:ascii="仿宋_GB2312" w:hAnsi="宋体" w:eastAsia="仿宋_GB2312"/>
                <w:kern w:val="0"/>
                <w:sz w:val="16"/>
                <w:szCs w:val="16"/>
              </w:rPr>
            </w:pPr>
          </w:p>
        </w:tc>
        <w:tc>
          <w:tcPr>
            <w:tcW w:w="136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卫生健康支出</w:t>
            </w:r>
          </w:p>
        </w:tc>
        <w:tc>
          <w:tcPr>
            <w:tcW w:w="1815" w:type="dxa"/>
            <w:vAlign w:val="center"/>
          </w:tcPr>
          <w:p>
            <w:pPr>
              <w:jc w:val="left"/>
            </w:pPr>
          </w:p>
        </w:tc>
        <w:tc>
          <w:tcPr>
            <w:tcW w:w="1200" w:type="dxa"/>
            <w:vAlign w:val="center"/>
          </w:tcPr>
          <w:p>
            <w:pPr>
              <w:jc w:val="right"/>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10.00</w:t>
            </w: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210</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04</w:t>
            </w:r>
          </w:p>
        </w:tc>
        <w:tc>
          <w:tcPr>
            <w:tcW w:w="675" w:type="dxa"/>
            <w:vAlign w:val="center"/>
          </w:tcPr>
          <w:p>
            <w:pPr>
              <w:jc w:val="left"/>
              <w:rPr>
                <w:rFonts w:ascii="仿宋_GB2312" w:hAnsi="宋体" w:eastAsia="仿宋_GB2312"/>
                <w:kern w:val="0"/>
                <w:sz w:val="16"/>
                <w:szCs w:val="16"/>
              </w:rPr>
            </w:pPr>
          </w:p>
        </w:tc>
        <w:tc>
          <w:tcPr>
            <w:tcW w:w="136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公共卫生</w:t>
            </w:r>
          </w:p>
        </w:tc>
        <w:tc>
          <w:tcPr>
            <w:tcW w:w="1815" w:type="dxa"/>
            <w:vAlign w:val="center"/>
          </w:tcPr>
          <w:p>
            <w:pPr>
              <w:jc w:val="left"/>
            </w:pPr>
          </w:p>
        </w:tc>
        <w:tc>
          <w:tcPr>
            <w:tcW w:w="1200" w:type="dxa"/>
            <w:vAlign w:val="center"/>
          </w:tcPr>
          <w:p>
            <w:pPr>
              <w:jc w:val="right"/>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10.00</w:t>
            </w: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210</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04</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10</w:t>
            </w:r>
          </w:p>
        </w:tc>
        <w:tc>
          <w:tcPr>
            <w:tcW w:w="136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突发公共卫生事件应急处理</w:t>
            </w:r>
          </w:p>
        </w:tc>
        <w:tc>
          <w:tcPr>
            <w:tcW w:w="1815" w:type="dxa"/>
            <w:vAlign w:val="center"/>
          </w:tcPr>
          <w:p>
            <w:pPr>
              <w:jc w:val="left"/>
              <w:rPr>
                <w:rFonts w:hint="default" w:eastAsiaTheme="minorEastAsia"/>
                <w:lang w:val="en-US" w:eastAsia="zh-CN"/>
              </w:rPr>
            </w:pPr>
            <w:r>
              <w:rPr>
                <w:rFonts w:hint="eastAsia"/>
                <w:lang w:val="en-US" w:eastAsia="zh-CN"/>
              </w:rPr>
              <w:t>流浪犬猫收容所费用</w:t>
            </w:r>
          </w:p>
        </w:tc>
        <w:tc>
          <w:tcPr>
            <w:tcW w:w="1200" w:type="dxa"/>
            <w:vAlign w:val="center"/>
          </w:tcPr>
          <w:p>
            <w:pPr>
              <w:jc w:val="right"/>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10.00</w:t>
            </w: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15" w:type="dxa"/>
            <w:vAlign w:val="center"/>
          </w:tcPr>
          <w:p>
            <w:pPr>
              <w:keepNext w:val="0"/>
              <w:keepLines w:val="0"/>
              <w:widowControl/>
              <w:suppressLineNumbers w:val="0"/>
              <w:jc w:val="left"/>
              <w:textAlignment w:val="center"/>
              <w:rPr>
                <w:rFonts w:ascii="仿宋_GB2312" w:hAnsi="宋体" w:eastAsia="仿宋_GB2312"/>
                <w:kern w:val="0"/>
                <w:sz w:val="16"/>
                <w:szCs w:val="16"/>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jc w:val="left"/>
              <w:rPr>
                <w:rFonts w:ascii="仿宋_GB2312" w:hAnsi="宋体" w:eastAsia="仿宋_GB2312"/>
                <w:kern w:val="0"/>
                <w:sz w:val="16"/>
                <w:szCs w:val="16"/>
              </w:rPr>
            </w:pPr>
          </w:p>
        </w:tc>
        <w:tc>
          <w:tcPr>
            <w:tcW w:w="675" w:type="dxa"/>
            <w:vAlign w:val="center"/>
          </w:tcPr>
          <w:p>
            <w:pPr>
              <w:jc w:val="left"/>
              <w:rPr>
                <w:rFonts w:ascii="仿宋_GB2312" w:hAnsi="宋体" w:eastAsia="仿宋_GB2312"/>
                <w:kern w:val="0"/>
                <w:sz w:val="16"/>
                <w:szCs w:val="16"/>
              </w:rPr>
            </w:pPr>
          </w:p>
        </w:tc>
        <w:tc>
          <w:tcPr>
            <w:tcW w:w="136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农林水支出</w:t>
            </w:r>
          </w:p>
        </w:tc>
        <w:tc>
          <w:tcPr>
            <w:tcW w:w="1815" w:type="dxa"/>
            <w:vAlign w:val="center"/>
          </w:tcPr>
          <w:p>
            <w:pPr>
              <w:jc w:val="left"/>
            </w:pPr>
          </w:p>
        </w:tc>
        <w:tc>
          <w:tcPr>
            <w:tcW w:w="1200" w:type="dxa"/>
            <w:vAlign w:val="center"/>
          </w:tcPr>
          <w:p>
            <w:pPr>
              <w:jc w:val="right"/>
            </w:pPr>
            <w:r>
              <w:rPr>
                <w:rFonts w:hint="eastAsia" w:ascii="仿宋_GB2312" w:eastAsia="仿宋_GB2312"/>
                <w:color w:val="auto"/>
                <w:sz w:val="20"/>
                <w:szCs w:val="20"/>
                <w:highlight w:val="none"/>
                <w:lang w:val="en-US" w:eastAsia="zh-CN"/>
              </w:rPr>
              <w:t>15,753.19</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21315.5</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ascii="仿宋_GB2312" w:hAnsi="宋体" w:eastAsia="仿宋_GB2312"/>
                <w:kern w:val="0"/>
                <w:sz w:val="16"/>
                <w:szCs w:val="16"/>
              </w:rPr>
            </w:pPr>
          </w:p>
        </w:tc>
        <w:tc>
          <w:tcPr>
            <w:tcW w:w="136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农业农村</w:t>
            </w:r>
          </w:p>
        </w:tc>
        <w:tc>
          <w:tcPr>
            <w:tcW w:w="1815" w:type="dxa"/>
            <w:vAlign w:val="center"/>
          </w:tcPr>
          <w:p>
            <w:pPr>
              <w:jc w:val="left"/>
            </w:pPr>
          </w:p>
        </w:tc>
        <w:tc>
          <w:tcPr>
            <w:tcW w:w="1200" w:type="dxa"/>
            <w:vAlign w:val="center"/>
          </w:tcPr>
          <w:p>
            <w:pPr>
              <w:jc w:val="right"/>
            </w:pPr>
            <w:r>
              <w:rPr>
                <w:rFonts w:hint="eastAsia" w:ascii="仿宋_GB2312" w:eastAsia="仿宋_GB2312"/>
                <w:color w:val="auto"/>
                <w:sz w:val="20"/>
                <w:szCs w:val="20"/>
                <w:highlight w:val="none"/>
                <w:lang w:val="en-US" w:eastAsia="zh-CN"/>
              </w:rPr>
              <w:t>10,227.23</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15750.25</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08</w:t>
            </w:r>
          </w:p>
        </w:tc>
        <w:tc>
          <w:tcPr>
            <w:tcW w:w="136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病虫害控制</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关于提前下达2024年中央农业防灾减灾和水利救灾资金[动物防疫补助]预算的通知</w:t>
            </w:r>
          </w:p>
        </w:tc>
        <w:tc>
          <w:tcPr>
            <w:tcW w:w="1200" w:type="dxa"/>
            <w:vAlign w:val="center"/>
          </w:tcPr>
          <w:p>
            <w:pPr>
              <w:jc w:val="right"/>
              <w:rPr>
                <w:rFonts w:hint="default" w:eastAsiaTheme="minorEastAsia"/>
                <w:lang w:val="en-US" w:eastAsia="zh-CN"/>
              </w:rPr>
            </w:pPr>
            <w:r>
              <w:rPr>
                <w:rFonts w:hint="eastAsia" w:ascii="仿宋_GB2312" w:eastAsia="仿宋_GB2312"/>
                <w:color w:val="auto"/>
                <w:sz w:val="20"/>
                <w:szCs w:val="20"/>
                <w:highlight w:val="none"/>
                <w:lang w:val="en-US" w:eastAsia="zh-CN"/>
              </w:rPr>
              <w:t>90.00</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90.00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i/>
                <w:iCs/>
              </w:rPr>
            </w:pPr>
            <w:r>
              <w:rPr>
                <w:rFonts w:hint="eastAsia" w:ascii="仿宋_GB2312" w:eastAsia="仿宋_GB2312"/>
                <w:i/>
                <w:iCs/>
                <w:color w:val="auto"/>
                <w:sz w:val="20"/>
                <w:szCs w:val="20"/>
                <w:highlight w:val="none"/>
                <w:lang w:val="en-US" w:eastAsia="zh-CN"/>
              </w:rPr>
              <w:t>90.00</w:t>
            </w: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08</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病虫害控制</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关于提前下达2024年自治区动物防疫补助资金预算的通知</w:t>
            </w:r>
          </w:p>
        </w:tc>
        <w:tc>
          <w:tcPr>
            <w:tcW w:w="1200" w:type="dxa"/>
            <w:vAlign w:val="center"/>
          </w:tcPr>
          <w:p>
            <w:pPr>
              <w:jc w:val="right"/>
            </w:pPr>
            <w:r>
              <w:rPr>
                <w:rFonts w:hint="eastAsia" w:ascii="仿宋_GB2312" w:eastAsia="仿宋_GB2312"/>
                <w:color w:val="auto"/>
                <w:sz w:val="20"/>
                <w:szCs w:val="20"/>
                <w:highlight w:val="none"/>
                <w:lang w:val="en-US" w:eastAsia="zh-CN"/>
              </w:rPr>
              <w:t>33.00</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33.00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i/>
                <w:iCs/>
              </w:rPr>
            </w:pPr>
            <w:r>
              <w:rPr>
                <w:rFonts w:hint="eastAsia" w:ascii="仿宋_GB2312" w:eastAsia="仿宋_GB2312"/>
                <w:i/>
                <w:iCs/>
                <w:color w:val="auto"/>
                <w:sz w:val="20"/>
                <w:szCs w:val="20"/>
                <w:highlight w:val="none"/>
                <w:lang w:val="en-US" w:eastAsia="zh-CN"/>
              </w:rPr>
              <w:t>33.00</w:t>
            </w: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08</w:t>
            </w:r>
          </w:p>
        </w:tc>
        <w:tc>
          <w:tcPr>
            <w:tcW w:w="136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病虫害控制</w:t>
            </w:r>
          </w:p>
        </w:tc>
        <w:tc>
          <w:tcPr>
            <w:tcW w:w="181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全区重大动物疫病防控经费</w:t>
            </w:r>
          </w:p>
        </w:tc>
        <w:tc>
          <w:tcPr>
            <w:tcW w:w="1200" w:type="dxa"/>
            <w:vAlign w:val="center"/>
          </w:tcPr>
          <w:p>
            <w:pPr>
              <w:jc w:val="right"/>
              <w:rPr>
                <w:rFonts w:hint="eastAsia"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115.00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eastAsia="仿宋_GB2312"/>
                <w:i/>
                <w:iCs/>
                <w:color w:val="auto"/>
                <w:sz w:val="20"/>
                <w:szCs w:val="20"/>
                <w:highlight w:val="none"/>
                <w:lang w:val="en-US" w:eastAsia="zh-CN"/>
              </w:rPr>
            </w:pPr>
            <w:r>
              <w:rPr>
                <w:rFonts w:hint="eastAsia" w:ascii="仿宋_GB2312" w:eastAsia="仿宋_GB2312"/>
                <w:i/>
                <w:iCs/>
                <w:color w:val="auto"/>
                <w:sz w:val="20"/>
                <w:szCs w:val="20"/>
                <w:highlight w:val="none"/>
                <w:lang w:val="en-US" w:eastAsia="zh-CN"/>
              </w:rPr>
              <w:t>115.00</w:t>
            </w:r>
          </w:p>
        </w:tc>
        <w:tc>
          <w:tcPr>
            <w:tcW w:w="1104" w:type="dxa"/>
            <w:vAlign w:val="center"/>
          </w:tcPr>
          <w:p>
            <w:pPr>
              <w:jc w:val="right"/>
              <w:rPr>
                <w:rFonts w:hint="eastAsia" w:ascii="仿宋_GB2312" w:eastAsia="仿宋_GB2312"/>
                <w:color w:val="auto"/>
                <w:sz w:val="20"/>
                <w:szCs w:val="20"/>
                <w:highlight w:val="none"/>
                <w:lang w:val="en-US" w:eastAsia="zh-CN"/>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09</w:t>
            </w:r>
          </w:p>
        </w:tc>
        <w:tc>
          <w:tcPr>
            <w:tcW w:w="1365" w:type="dxa"/>
            <w:vAlign w:val="center"/>
          </w:tcPr>
          <w:p>
            <w:pPr>
              <w:keepNext w:val="0"/>
              <w:keepLines w:val="0"/>
              <w:widowControl/>
              <w:suppressLineNumbers w:val="0"/>
              <w:jc w:val="left"/>
              <w:textAlignment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农产品质量安全</w:t>
            </w:r>
          </w:p>
        </w:tc>
        <w:tc>
          <w:tcPr>
            <w:tcW w:w="181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2024年伊州区农产品质量安全检测经费</w:t>
            </w:r>
          </w:p>
        </w:tc>
        <w:tc>
          <w:tcPr>
            <w:tcW w:w="1200" w:type="dxa"/>
            <w:vAlign w:val="center"/>
          </w:tcPr>
          <w:p>
            <w:pPr>
              <w:jc w:val="right"/>
              <w:rPr>
                <w:rFonts w:hint="default"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eastAsia="仿宋_GB2312"/>
                <w:i/>
                <w:iCs/>
                <w:color w:val="auto"/>
                <w:sz w:val="20"/>
                <w:szCs w:val="20"/>
                <w:highlight w:val="none"/>
                <w:lang w:val="en-US" w:eastAsia="zh-CN"/>
              </w:rPr>
            </w:pPr>
            <w:r>
              <w:rPr>
                <w:rFonts w:hint="eastAsia" w:ascii="仿宋_GB2312" w:eastAsia="仿宋_GB2312"/>
                <w:i/>
                <w:iCs/>
                <w:color w:val="auto"/>
                <w:sz w:val="20"/>
                <w:szCs w:val="20"/>
                <w:highlight w:val="none"/>
                <w:lang w:val="en-US" w:eastAsia="zh-CN"/>
              </w:rPr>
              <w:t>20.00</w:t>
            </w:r>
          </w:p>
        </w:tc>
        <w:tc>
          <w:tcPr>
            <w:tcW w:w="1104" w:type="dxa"/>
            <w:vAlign w:val="center"/>
          </w:tcPr>
          <w:p>
            <w:pPr>
              <w:jc w:val="right"/>
              <w:rPr>
                <w:rFonts w:hint="eastAsia" w:ascii="仿宋_GB2312" w:eastAsia="仿宋_GB2312"/>
                <w:color w:val="auto"/>
                <w:sz w:val="20"/>
                <w:szCs w:val="20"/>
                <w:highlight w:val="none"/>
                <w:lang w:val="en-US" w:eastAsia="zh-CN"/>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20</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稳定农民收入补贴</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关于提前下达2024年自治区农业生产发展资金[耕地地力保护补贴]的通知</w:t>
            </w:r>
          </w:p>
        </w:tc>
        <w:tc>
          <w:tcPr>
            <w:tcW w:w="1200" w:type="dxa"/>
            <w:vAlign w:val="center"/>
          </w:tcPr>
          <w:p>
            <w:pPr>
              <w:jc w:val="right"/>
            </w:pPr>
            <w:r>
              <w:rPr>
                <w:rFonts w:hint="eastAsia" w:ascii="仿宋_GB2312" w:eastAsia="仿宋_GB2312"/>
                <w:color w:val="auto"/>
                <w:sz w:val="20"/>
                <w:szCs w:val="20"/>
                <w:highlight w:val="none"/>
                <w:lang w:val="en-US" w:eastAsia="zh-CN"/>
              </w:rPr>
              <w:t>101.78</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101.78</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101.78</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default"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关于提前下达2024年哈密市农机购置补贴资金预算的通知</w:t>
            </w:r>
          </w:p>
        </w:tc>
        <w:tc>
          <w:tcPr>
            <w:tcW w:w="1200" w:type="dxa"/>
            <w:vAlign w:val="center"/>
          </w:tcPr>
          <w:p>
            <w:pPr>
              <w:jc w:val="right"/>
            </w:pPr>
            <w:r>
              <w:rPr>
                <w:rFonts w:hint="eastAsia" w:ascii="仿宋_GB2312" w:eastAsia="仿宋_GB2312"/>
                <w:color w:val="auto"/>
                <w:sz w:val="20"/>
                <w:szCs w:val="20"/>
                <w:highlight w:val="none"/>
                <w:lang w:val="en-US" w:eastAsia="zh-CN"/>
              </w:rPr>
              <w:t>120.00</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eastAsia="仿宋_GB2312"/>
                <w:color w:val="auto"/>
                <w:sz w:val="20"/>
                <w:szCs w:val="20"/>
                <w:highlight w:val="none"/>
                <w:lang w:val="en-US" w:eastAsia="zh-CN"/>
              </w:rPr>
              <w:t>120.00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120.00</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关于提前下达2024年中央粮油生产保障资金预算的通知</w:t>
            </w:r>
          </w:p>
        </w:tc>
        <w:tc>
          <w:tcPr>
            <w:tcW w:w="1200" w:type="dxa"/>
            <w:vAlign w:val="center"/>
          </w:tcPr>
          <w:p>
            <w:pPr>
              <w:jc w:val="center"/>
              <w:rPr>
                <w:rFonts w:hint="default" w:eastAsiaTheme="minorEastAsia"/>
                <w:lang w:val="en-US" w:eastAsia="zh-CN"/>
              </w:rPr>
            </w:pPr>
            <w:r>
              <w:rPr>
                <w:rFonts w:hint="eastAsia" w:ascii="仿宋_GB2312" w:eastAsia="仿宋_GB2312"/>
                <w:color w:val="auto"/>
                <w:sz w:val="20"/>
                <w:szCs w:val="20"/>
                <w:highlight w:val="none"/>
                <w:lang w:val="en-US" w:eastAsia="zh-CN"/>
              </w:rPr>
              <w:t>5.00</w:t>
            </w:r>
          </w:p>
        </w:tc>
        <w:tc>
          <w:tcPr>
            <w:tcW w:w="1005" w:type="dxa"/>
            <w:vAlign w:val="center"/>
          </w:tcPr>
          <w:p>
            <w:pPr>
              <w:jc w:val="center"/>
              <w:rPr>
                <w:rFonts w:hint="eastAsia" w:ascii="仿宋_GB2312" w:hAnsi="宋体" w:eastAsia="仿宋_GB2312" w:cs="宋体"/>
                <w:kern w:val="0"/>
                <w:sz w:val="16"/>
                <w:szCs w:val="16"/>
                <w:lang w:val="en-US" w:eastAsia="zh-CN"/>
              </w:rPr>
            </w:pPr>
            <w:r>
              <w:rPr>
                <w:rFonts w:hint="eastAsia" w:ascii="仿宋_GB2312" w:eastAsia="仿宋_GB2312"/>
                <w:color w:val="auto"/>
                <w:sz w:val="20"/>
                <w:szCs w:val="20"/>
                <w:highlight w:val="none"/>
                <w:lang w:val="en-US" w:eastAsia="zh-CN"/>
              </w:rPr>
              <w:t>5.00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r>
              <w:rPr>
                <w:rFonts w:hint="eastAsia" w:ascii="仿宋_GB2312" w:eastAsia="仿宋_GB2312"/>
                <w:color w:val="auto"/>
                <w:sz w:val="20"/>
                <w:szCs w:val="20"/>
                <w:highlight w:val="none"/>
                <w:lang w:val="en-US" w:eastAsia="zh-CN"/>
              </w:rPr>
              <w:t>5.00</w:t>
            </w: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关于提前下达2024年中央农业产业发展资金预算的通知</w:t>
            </w:r>
          </w:p>
        </w:tc>
        <w:tc>
          <w:tcPr>
            <w:tcW w:w="1200" w:type="dxa"/>
            <w:vAlign w:val="center"/>
          </w:tcPr>
          <w:p>
            <w:pPr>
              <w:jc w:val="right"/>
            </w:pPr>
            <w:r>
              <w:rPr>
                <w:rFonts w:hint="eastAsia" w:ascii="仿宋_GB2312" w:eastAsia="仿宋_GB2312"/>
                <w:color w:val="auto"/>
                <w:sz w:val="20"/>
                <w:szCs w:val="20"/>
                <w:highlight w:val="none"/>
                <w:lang w:val="en-US" w:eastAsia="zh-CN"/>
              </w:rPr>
              <w:t>887.00</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887.00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r>
              <w:rPr>
                <w:rFonts w:hint="eastAsia" w:ascii="仿宋_GB2312" w:eastAsia="仿宋_GB2312"/>
                <w:color w:val="auto"/>
                <w:sz w:val="20"/>
                <w:szCs w:val="20"/>
                <w:highlight w:val="none"/>
                <w:lang w:val="en-US" w:eastAsia="zh-CN"/>
              </w:rPr>
              <w:t>887.00</w:t>
            </w: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eastAsia" w:ascii="仿宋_GB2312" w:hAnsi="宋体" w:eastAsia="仿宋_GB2312" w:cs="仿宋_GB2312"/>
                <w:i w:val="0"/>
                <w:color w:val="auto"/>
                <w:kern w:val="0"/>
                <w:sz w:val="20"/>
                <w:szCs w:val="20"/>
                <w:u w:val="none"/>
                <w:lang w:val="en-US" w:eastAsia="zh-CN" w:bidi="ar"/>
              </w:rPr>
            </w:pPr>
            <w:r>
              <w:rPr>
                <w:rFonts w:hint="eastAsia" w:ascii="仿宋_GB2312" w:hAnsi="宋体" w:eastAsia="仿宋_GB2312" w:cs="仿宋_GB2312"/>
                <w:i w:val="0"/>
                <w:color w:val="auto"/>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eastAsia" w:ascii="仿宋_GB2312" w:hAnsi="宋体" w:eastAsia="仿宋_GB2312" w:cs="仿宋_GB2312"/>
                <w:i w:val="0"/>
                <w:color w:val="auto"/>
                <w:kern w:val="0"/>
                <w:sz w:val="20"/>
                <w:szCs w:val="20"/>
                <w:u w:val="none"/>
                <w:lang w:val="en-US" w:eastAsia="zh-CN" w:bidi="ar"/>
              </w:rPr>
            </w:pPr>
            <w:r>
              <w:rPr>
                <w:rFonts w:hint="eastAsia" w:ascii="仿宋_GB2312" w:hAnsi="宋体" w:eastAsia="仿宋_GB2312" w:cs="仿宋_GB2312"/>
                <w:i w:val="0"/>
                <w:color w:val="auto"/>
                <w:kern w:val="0"/>
                <w:sz w:val="20"/>
                <w:szCs w:val="20"/>
                <w:u w:val="none"/>
                <w:lang w:val="en-US" w:eastAsia="zh-CN" w:bidi="ar"/>
              </w:rPr>
              <w:t>01</w:t>
            </w:r>
          </w:p>
        </w:tc>
        <w:tc>
          <w:tcPr>
            <w:tcW w:w="675" w:type="dxa"/>
            <w:vAlign w:val="center"/>
          </w:tcPr>
          <w:p>
            <w:pPr>
              <w:jc w:val="left"/>
              <w:rPr>
                <w:rFonts w:ascii="仿宋_GB2312" w:hAnsi="宋体" w:eastAsia="仿宋_GB2312"/>
                <w:color w:val="auto"/>
                <w:kern w:val="0"/>
                <w:sz w:val="16"/>
                <w:szCs w:val="16"/>
              </w:rPr>
            </w:pPr>
            <w:r>
              <w:rPr>
                <w:rFonts w:hint="eastAsia" w:ascii="仿宋_GB2312" w:hAnsi="宋体" w:eastAsia="仿宋_GB2312"/>
                <w:color w:val="auto"/>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auto"/>
                <w:kern w:val="0"/>
                <w:sz w:val="20"/>
                <w:szCs w:val="20"/>
                <w:u w:val="none"/>
                <w:lang w:val="en-US" w:eastAsia="zh-CN" w:bidi="ar"/>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rPr>
                <w:color w:val="auto"/>
              </w:rPr>
            </w:pPr>
            <w:r>
              <w:rPr>
                <w:rFonts w:hint="eastAsia" w:ascii="仿宋_GB2312" w:eastAsia="仿宋_GB2312"/>
                <w:color w:val="auto"/>
                <w:sz w:val="20"/>
                <w:szCs w:val="20"/>
                <w:highlight w:val="none"/>
                <w:lang w:val="en-US" w:eastAsia="zh-CN"/>
              </w:rPr>
              <w:t>特定类—农机购置补贴资金</w:t>
            </w:r>
          </w:p>
        </w:tc>
        <w:tc>
          <w:tcPr>
            <w:tcW w:w="1200" w:type="dxa"/>
            <w:vAlign w:val="center"/>
          </w:tcPr>
          <w:p>
            <w:pPr>
              <w:jc w:val="right"/>
              <w:rPr>
                <w:color w:val="auto"/>
              </w:rPr>
            </w:pPr>
            <w:r>
              <w:rPr>
                <w:rFonts w:hint="eastAsia" w:ascii="仿宋_GB2312" w:eastAsia="仿宋_GB2312"/>
                <w:color w:val="auto"/>
                <w:sz w:val="20"/>
                <w:szCs w:val="20"/>
                <w:highlight w:val="none"/>
                <w:lang w:val="en-US" w:eastAsia="zh-CN"/>
              </w:rPr>
              <w:t>50.00</w:t>
            </w:r>
          </w:p>
        </w:tc>
        <w:tc>
          <w:tcPr>
            <w:tcW w:w="1005" w:type="dxa"/>
            <w:vAlign w:val="center"/>
          </w:tcPr>
          <w:p>
            <w:pPr>
              <w:jc w:val="right"/>
              <w:rPr>
                <w:rFonts w:ascii="仿宋_GB2312" w:hAnsi="宋体" w:eastAsia="仿宋_GB2312" w:cs="宋体"/>
                <w:color w:val="auto"/>
                <w:kern w:val="0"/>
                <w:sz w:val="16"/>
                <w:szCs w:val="16"/>
              </w:rPr>
            </w:pPr>
            <w:r>
              <w:rPr>
                <w:rFonts w:hint="eastAsia" w:ascii="仿宋_GB2312" w:eastAsia="仿宋_GB2312"/>
                <w:color w:val="auto"/>
                <w:sz w:val="20"/>
                <w:szCs w:val="20"/>
                <w:highlight w:val="none"/>
                <w:lang w:val="en-US" w:eastAsia="zh-CN"/>
              </w:rPr>
              <w:t>50.00</w:t>
            </w:r>
          </w:p>
        </w:tc>
        <w:tc>
          <w:tcPr>
            <w:tcW w:w="365" w:type="dxa"/>
            <w:vAlign w:val="center"/>
          </w:tcPr>
          <w:p>
            <w:pPr>
              <w:jc w:val="right"/>
              <w:rPr>
                <w:rFonts w:ascii="仿宋_GB2312" w:hAnsi="宋体" w:eastAsia="仿宋_GB2312"/>
                <w:color w:val="auto"/>
                <w:kern w:val="0"/>
                <w:sz w:val="16"/>
                <w:szCs w:val="16"/>
              </w:rPr>
            </w:pPr>
          </w:p>
        </w:tc>
        <w:tc>
          <w:tcPr>
            <w:tcW w:w="931" w:type="dxa"/>
            <w:vAlign w:val="center"/>
          </w:tcPr>
          <w:p>
            <w:pPr>
              <w:jc w:val="right"/>
              <w:rPr>
                <w:color w:val="auto"/>
              </w:rPr>
            </w:pPr>
          </w:p>
        </w:tc>
        <w:tc>
          <w:tcPr>
            <w:tcW w:w="1104" w:type="dxa"/>
            <w:vAlign w:val="center"/>
          </w:tcPr>
          <w:p>
            <w:pPr>
              <w:jc w:val="right"/>
              <w:rPr>
                <w:rFonts w:ascii="仿宋_GB2312" w:hAnsi="宋体" w:eastAsia="仿宋_GB2312"/>
                <w:color w:val="auto"/>
                <w:kern w:val="0"/>
                <w:sz w:val="16"/>
                <w:szCs w:val="16"/>
              </w:rPr>
            </w:pPr>
            <w:r>
              <w:rPr>
                <w:rFonts w:hint="eastAsia" w:ascii="仿宋_GB2312" w:eastAsia="仿宋_GB2312"/>
                <w:color w:val="auto"/>
                <w:sz w:val="20"/>
                <w:szCs w:val="20"/>
                <w:highlight w:val="none"/>
                <w:lang w:val="en-US" w:eastAsia="zh-CN"/>
              </w:rPr>
              <w:t>50.00</w:t>
            </w:r>
          </w:p>
        </w:tc>
        <w:tc>
          <w:tcPr>
            <w:tcW w:w="759" w:type="dxa"/>
            <w:vAlign w:val="center"/>
          </w:tcPr>
          <w:p>
            <w:pPr>
              <w:jc w:val="right"/>
              <w:rPr>
                <w:rFonts w:ascii="仿宋_GB2312" w:hAnsi="宋体" w:eastAsia="仿宋_GB2312"/>
                <w:color w:val="FF0000"/>
                <w:kern w:val="0"/>
                <w:sz w:val="16"/>
                <w:szCs w:val="16"/>
              </w:rPr>
            </w:pPr>
          </w:p>
        </w:tc>
        <w:tc>
          <w:tcPr>
            <w:tcW w:w="932" w:type="dxa"/>
            <w:vAlign w:val="center"/>
          </w:tcPr>
          <w:p>
            <w:pPr>
              <w:jc w:val="right"/>
              <w:rPr>
                <w:color w:val="FF0000"/>
              </w:rPr>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pPr>
            <w:r>
              <w:rPr>
                <w:rFonts w:hint="eastAsia" w:ascii="仿宋_GB2312" w:eastAsia="仿宋_GB2312"/>
                <w:color w:val="auto"/>
                <w:sz w:val="20"/>
                <w:szCs w:val="20"/>
                <w:highlight w:val="none"/>
                <w:lang w:val="en-US" w:eastAsia="zh-CN"/>
              </w:rPr>
              <w:t>特定类—2023年伊州区油料作物补贴</w:t>
            </w:r>
          </w:p>
        </w:tc>
        <w:tc>
          <w:tcPr>
            <w:tcW w:w="1200" w:type="dxa"/>
            <w:vAlign w:val="center"/>
          </w:tcPr>
          <w:p>
            <w:pPr>
              <w:jc w:val="right"/>
            </w:pPr>
            <w:r>
              <w:rPr>
                <w:rFonts w:hint="eastAsia" w:ascii="仿宋_GB2312" w:eastAsia="仿宋_GB2312"/>
                <w:color w:val="auto"/>
                <w:sz w:val="20"/>
                <w:szCs w:val="20"/>
                <w:highlight w:val="none"/>
                <w:lang w:val="en-US" w:eastAsia="zh-CN"/>
              </w:rPr>
              <w:t>10.47</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39.48</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hint="default" w:ascii="仿宋_GB2312" w:hAnsi="宋体" w:eastAsia="仿宋_GB2312"/>
                <w:kern w:val="0"/>
                <w:sz w:val="16"/>
                <w:szCs w:val="16"/>
                <w:lang w:val="en-US"/>
              </w:rPr>
            </w:pPr>
            <w:r>
              <w:rPr>
                <w:rFonts w:hint="eastAsia" w:ascii="仿宋_GB2312" w:eastAsia="仿宋_GB2312"/>
                <w:color w:val="auto"/>
                <w:sz w:val="20"/>
                <w:szCs w:val="20"/>
                <w:highlight w:val="none"/>
                <w:lang w:val="en-US" w:eastAsia="zh-CN"/>
              </w:rPr>
              <w:t>39.48</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pPr>
            <w:r>
              <w:rPr>
                <w:rFonts w:hint="eastAsia" w:ascii="仿宋_GB2312" w:eastAsia="仿宋_GB2312"/>
                <w:color w:val="auto"/>
                <w:sz w:val="20"/>
                <w:szCs w:val="20"/>
                <w:highlight w:val="none"/>
                <w:lang w:val="en-US" w:eastAsia="zh-CN"/>
              </w:rPr>
              <w:t>特定类—2023年耕地地力保护补贴（地方）</w:t>
            </w:r>
          </w:p>
        </w:tc>
        <w:tc>
          <w:tcPr>
            <w:tcW w:w="1200" w:type="dxa"/>
            <w:vAlign w:val="center"/>
          </w:tcPr>
          <w:p>
            <w:pPr>
              <w:jc w:val="right"/>
            </w:pPr>
            <w:r>
              <w:rPr>
                <w:rFonts w:hint="eastAsia" w:ascii="仿宋_GB2312" w:eastAsia="仿宋_GB2312"/>
                <w:color w:val="auto"/>
                <w:sz w:val="20"/>
                <w:szCs w:val="20"/>
                <w:highlight w:val="none"/>
                <w:lang w:val="en-US" w:eastAsia="zh-CN"/>
              </w:rPr>
              <w:t>274.23</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274.24</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274.24</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pPr>
            <w:r>
              <w:rPr>
                <w:rFonts w:hint="eastAsia" w:ascii="仿宋_GB2312" w:eastAsia="仿宋_GB2312"/>
                <w:color w:val="auto"/>
                <w:sz w:val="20"/>
                <w:szCs w:val="20"/>
                <w:highlight w:val="none"/>
                <w:lang w:val="en-US" w:eastAsia="zh-CN"/>
              </w:rPr>
              <w:t>特定类—2024年耕地地力保护补贴（小麦）</w:t>
            </w:r>
          </w:p>
        </w:tc>
        <w:tc>
          <w:tcPr>
            <w:tcW w:w="1200" w:type="dxa"/>
            <w:vAlign w:val="center"/>
          </w:tcPr>
          <w:p>
            <w:pPr>
              <w:jc w:val="right"/>
            </w:pPr>
            <w:r>
              <w:rPr>
                <w:rFonts w:hint="eastAsia" w:ascii="仿宋_GB2312" w:eastAsia="仿宋_GB2312"/>
                <w:color w:val="auto"/>
                <w:sz w:val="20"/>
                <w:szCs w:val="20"/>
                <w:highlight w:val="none"/>
                <w:lang w:val="en-US" w:eastAsia="zh-CN"/>
              </w:rPr>
              <w:t>98.84</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98.84</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98.84</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hAnsi="宋体" w:eastAsia="仿宋_GB2312"/>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2024年耕地休耕项目</w:t>
            </w:r>
          </w:p>
        </w:tc>
        <w:tc>
          <w:tcPr>
            <w:tcW w:w="1200" w:type="dxa"/>
            <w:vAlign w:val="center"/>
          </w:tcPr>
          <w:p>
            <w:pPr>
              <w:jc w:val="right"/>
              <w:rPr>
                <w:rFonts w:hint="default"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2940.00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2940.00</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rPr>
                <w:rFonts w:hint="eastAsia" w:ascii="仿宋_GB2312" w:eastAsia="仿宋_GB2312"/>
                <w:color w:val="auto"/>
                <w:sz w:val="20"/>
                <w:szCs w:val="20"/>
                <w:highlight w:val="none"/>
                <w:lang w:val="en-US" w:eastAsia="zh-CN"/>
              </w:rPr>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213</w:t>
            </w:r>
          </w:p>
        </w:tc>
        <w:tc>
          <w:tcPr>
            <w:tcW w:w="67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01</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hAnsi="宋体" w:eastAsia="仿宋_GB2312"/>
                <w:kern w:val="0"/>
                <w:sz w:val="16"/>
                <w:szCs w:val="16"/>
                <w:lang w:val="en-US" w:eastAsia="zh-CN"/>
              </w:rPr>
              <w:t>22</w:t>
            </w:r>
          </w:p>
        </w:tc>
        <w:tc>
          <w:tcPr>
            <w:tcW w:w="136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农业生产发展</w:t>
            </w:r>
          </w:p>
        </w:tc>
        <w:tc>
          <w:tcPr>
            <w:tcW w:w="181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第三次全国土壤普查经费</w:t>
            </w:r>
          </w:p>
        </w:tc>
        <w:tc>
          <w:tcPr>
            <w:tcW w:w="1200" w:type="dxa"/>
            <w:vAlign w:val="center"/>
          </w:tcPr>
          <w:p>
            <w:pPr>
              <w:jc w:val="right"/>
              <w:rPr>
                <w:rFonts w:hint="eastAsia"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203.00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203.00</w:t>
            </w:r>
          </w:p>
        </w:tc>
        <w:tc>
          <w:tcPr>
            <w:tcW w:w="1104" w:type="dxa"/>
            <w:vAlign w:val="center"/>
          </w:tcPr>
          <w:p>
            <w:pPr>
              <w:jc w:val="right"/>
              <w:rPr>
                <w:rFonts w:hint="eastAsia" w:ascii="仿宋_GB2312" w:hAnsi="宋体" w:eastAsia="仿宋_GB2312" w:cs="宋体"/>
                <w:kern w:val="0"/>
                <w:sz w:val="16"/>
                <w:szCs w:val="16"/>
                <w:lang w:val="en-US" w:eastAsia="zh-CN"/>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rPr>
                <w:rFonts w:hint="eastAsia" w:ascii="仿宋_GB2312" w:eastAsia="仿宋_GB2312"/>
                <w:color w:val="auto"/>
                <w:sz w:val="20"/>
                <w:szCs w:val="20"/>
                <w:highlight w:val="none"/>
                <w:lang w:val="en-US" w:eastAsia="zh-CN"/>
              </w:rPr>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35</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农业生态资源保护</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关于提前下达2024年中央耕地建设与利用资金预算的通知</w:t>
            </w:r>
          </w:p>
        </w:tc>
        <w:tc>
          <w:tcPr>
            <w:tcW w:w="1200" w:type="dxa"/>
            <w:vAlign w:val="center"/>
          </w:tcPr>
          <w:p>
            <w:pPr>
              <w:jc w:val="right"/>
            </w:pPr>
            <w:r>
              <w:rPr>
                <w:rFonts w:hint="eastAsia" w:ascii="仿宋_GB2312" w:eastAsia="仿宋_GB2312"/>
                <w:color w:val="auto"/>
                <w:sz w:val="20"/>
                <w:szCs w:val="20"/>
                <w:highlight w:val="none"/>
                <w:lang w:val="en-US" w:eastAsia="zh-CN"/>
              </w:rPr>
              <w:t>245.00</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245.00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r>
              <w:rPr>
                <w:rFonts w:hint="eastAsia" w:ascii="仿宋_GB2312" w:eastAsia="仿宋_GB2312"/>
                <w:color w:val="auto"/>
                <w:sz w:val="20"/>
                <w:szCs w:val="20"/>
                <w:highlight w:val="none"/>
                <w:lang w:val="en-US" w:eastAsia="zh-CN"/>
              </w:rPr>
              <w:t>245.00</w:t>
            </w: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35</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农业生态资源保护</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关于提前下达2024年中央农业生态资源保护资金预算的通知</w:t>
            </w:r>
          </w:p>
        </w:tc>
        <w:tc>
          <w:tcPr>
            <w:tcW w:w="1200" w:type="dxa"/>
            <w:vAlign w:val="center"/>
          </w:tcPr>
          <w:p>
            <w:pPr>
              <w:jc w:val="right"/>
            </w:pPr>
            <w:r>
              <w:rPr>
                <w:rFonts w:hint="eastAsia" w:ascii="仿宋_GB2312" w:eastAsia="仿宋_GB2312"/>
                <w:color w:val="auto"/>
                <w:sz w:val="20"/>
                <w:szCs w:val="20"/>
                <w:highlight w:val="none"/>
                <w:lang w:val="en-US" w:eastAsia="zh-CN"/>
              </w:rPr>
              <w:t>7,354.76</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7,354.76</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7,354.76</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农业生态资源保护</w:t>
            </w:r>
          </w:p>
        </w:tc>
        <w:tc>
          <w:tcPr>
            <w:tcW w:w="181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2023年残膜无害化集中填埋处置项目</w:t>
            </w:r>
          </w:p>
        </w:tc>
        <w:tc>
          <w:tcPr>
            <w:tcW w:w="1200" w:type="dxa"/>
            <w:vAlign w:val="center"/>
          </w:tcPr>
          <w:p>
            <w:pPr>
              <w:jc w:val="right"/>
              <w:rPr>
                <w:rFonts w:hint="eastAsia"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730.00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rPr>
                <w:rFonts w:hint="eastAsia" w:ascii="仿宋_GB2312" w:eastAsia="仿宋_GB2312"/>
                <w:color w:val="auto"/>
                <w:sz w:val="20"/>
                <w:szCs w:val="20"/>
                <w:highlight w:val="none"/>
                <w:lang w:val="en-US" w:eastAsia="zh-CN"/>
              </w:rPr>
            </w:pPr>
          </w:p>
        </w:tc>
        <w:tc>
          <w:tcPr>
            <w:tcW w:w="889"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730.00</w:t>
            </w: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农业生态资源保护</w:t>
            </w:r>
          </w:p>
        </w:tc>
        <w:tc>
          <w:tcPr>
            <w:tcW w:w="181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伊州区农田废旧地膜污染治理及加厚地膜推广项目</w:t>
            </w:r>
          </w:p>
        </w:tc>
        <w:tc>
          <w:tcPr>
            <w:tcW w:w="1200" w:type="dxa"/>
            <w:vAlign w:val="center"/>
          </w:tcPr>
          <w:p>
            <w:pPr>
              <w:jc w:val="right"/>
              <w:rPr>
                <w:rFonts w:hint="eastAsia"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1470.00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rPr>
                <w:rFonts w:hint="eastAsia" w:ascii="仿宋_GB2312" w:eastAsia="仿宋_GB2312"/>
                <w:color w:val="auto"/>
                <w:sz w:val="20"/>
                <w:szCs w:val="20"/>
                <w:highlight w:val="none"/>
                <w:lang w:val="en-US" w:eastAsia="zh-CN"/>
              </w:rPr>
            </w:pPr>
          </w:p>
        </w:tc>
        <w:tc>
          <w:tcPr>
            <w:tcW w:w="889"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1470.00</w:t>
            </w: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53</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耕地建设与利用</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关于提前下达2024年自治区农田建设补助资金的通知</w:t>
            </w:r>
          </w:p>
        </w:tc>
        <w:tc>
          <w:tcPr>
            <w:tcW w:w="1200" w:type="dxa"/>
            <w:vAlign w:val="center"/>
          </w:tcPr>
          <w:p>
            <w:pPr>
              <w:jc w:val="right"/>
            </w:pPr>
            <w:r>
              <w:rPr>
                <w:rFonts w:hint="eastAsia" w:ascii="仿宋_GB2312" w:eastAsia="仿宋_GB2312"/>
                <w:color w:val="auto"/>
                <w:sz w:val="20"/>
                <w:szCs w:val="20"/>
                <w:highlight w:val="none"/>
                <w:lang w:val="en-US" w:eastAsia="zh-CN"/>
              </w:rPr>
              <w:t>217.00</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217.00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r>
              <w:rPr>
                <w:rFonts w:hint="eastAsia" w:ascii="仿宋_GB2312" w:eastAsia="仿宋_GB2312"/>
                <w:color w:val="auto"/>
                <w:sz w:val="20"/>
                <w:szCs w:val="20"/>
                <w:highlight w:val="none"/>
                <w:lang w:val="en-US" w:eastAsia="zh-CN"/>
              </w:rPr>
              <w:t>217.00</w:t>
            </w: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color w:val="auto"/>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color w:val="auto"/>
                <w:kern w:val="0"/>
                <w:sz w:val="16"/>
                <w:szCs w:val="16"/>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ascii="仿宋_GB2312" w:hAnsi="宋体" w:eastAsia="仿宋_GB2312"/>
                <w:color w:val="auto"/>
                <w:kern w:val="0"/>
                <w:sz w:val="16"/>
                <w:szCs w:val="16"/>
              </w:rPr>
            </w:pPr>
            <w:r>
              <w:rPr>
                <w:rFonts w:hint="eastAsia" w:ascii="仿宋_GB2312" w:eastAsia="仿宋_GB2312"/>
                <w:color w:val="auto"/>
                <w:sz w:val="20"/>
                <w:szCs w:val="20"/>
                <w:highlight w:val="none"/>
                <w:lang w:val="en-US" w:eastAsia="zh-CN"/>
              </w:rPr>
              <w:t>99</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其他农业农村支出</w:t>
            </w:r>
          </w:p>
        </w:tc>
        <w:tc>
          <w:tcPr>
            <w:tcW w:w="1815" w:type="dxa"/>
            <w:vAlign w:val="center"/>
          </w:tcPr>
          <w:p>
            <w:pPr>
              <w:jc w:val="left"/>
              <w:rPr>
                <w:color w:val="auto"/>
              </w:rPr>
            </w:pPr>
            <w:r>
              <w:rPr>
                <w:rFonts w:hint="eastAsia" w:ascii="仿宋_GB2312" w:eastAsia="仿宋_GB2312"/>
                <w:color w:val="auto"/>
                <w:sz w:val="20"/>
                <w:szCs w:val="20"/>
                <w:highlight w:val="none"/>
                <w:lang w:val="en-US" w:eastAsia="zh-CN"/>
              </w:rPr>
              <w:t>特定类—农田废旧地膜回收利用配套</w:t>
            </w:r>
          </w:p>
        </w:tc>
        <w:tc>
          <w:tcPr>
            <w:tcW w:w="1200" w:type="dxa"/>
            <w:vAlign w:val="center"/>
          </w:tcPr>
          <w:p>
            <w:pPr>
              <w:jc w:val="right"/>
              <w:rPr>
                <w:color w:val="auto"/>
              </w:rPr>
            </w:pPr>
            <w:r>
              <w:rPr>
                <w:rFonts w:hint="eastAsia" w:ascii="仿宋_GB2312" w:eastAsia="仿宋_GB2312"/>
                <w:color w:val="auto"/>
                <w:sz w:val="20"/>
                <w:szCs w:val="20"/>
                <w:highlight w:val="none"/>
                <w:lang w:val="en-US" w:eastAsia="zh-CN"/>
              </w:rPr>
              <w:t>133.15</w:t>
            </w:r>
          </w:p>
        </w:tc>
        <w:tc>
          <w:tcPr>
            <w:tcW w:w="1005" w:type="dxa"/>
            <w:vAlign w:val="center"/>
          </w:tcPr>
          <w:p>
            <w:pPr>
              <w:jc w:val="right"/>
              <w:rPr>
                <w:rFonts w:ascii="仿宋_GB2312" w:hAnsi="宋体" w:eastAsia="仿宋_GB2312" w:cs="宋体"/>
                <w:color w:val="auto"/>
                <w:kern w:val="0"/>
                <w:sz w:val="16"/>
                <w:szCs w:val="16"/>
              </w:rPr>
            </w:pPr>
            <w:r>
              <w:rPr>
                <w:rFonts w:hint="eastAsia" w:ascii="仿宋_GB2312" w:eastAsia="仿宋_GB2312"/>
                <w:color w:val="auto"/>
                <w:sz w:val="20"/>
                <w:szCs w:val="20"/>
                <w:highlight w:val="none"/>
                <w:lang w:val="en-US" w:eastAsia="zh-CN"/>
              </w:rPr>
              <w:t>133.15</w:t>
            </w:r>
          </w:p>
        </w:tc>
        <w:tc>
          <w:tcPr>
            <w:tcW w:w="365" w:type="dxa"/>
            <w:vAlign w:val="center"/>
          </w:tcPr>
          <w:p>
            <w:pPr>
              <w:jc w:val="right"/>
              <w:rPr>
                <w:rFonts w:ascii="仿宋_GB2312" w:hAnsi="宋体" w:eastAsia="仿宋_GB2312"/>
                <w:color w:val="auto"/>
                <w:kern w:val="0"/>
                <w:sz w:val="16"/>
                <w:szCs w:val="16"/>
              </w:rPr>
            </w:pPr>
          </w:p>
        </w:tc>
        <w:tc>
          <w:tcPr>
            <w:tcW w:w="931" w:type="dxa"/>
            <w:vAlign w:val="center"/>
          </w:tcPr>
          <w:p>
            <w:pPr>
              <w:jc w:val="right"/>
              <w:rPr>
                <w:color w:val="auto"/>
              </w:rPr>
            </w:pPr>
          </w:p>
        </w:tc>
        <w:tc>
          <w:tcPr>
            <w:tcW w:w="1104" w:type="dxa"/>
            <w:vAlign w:val="center"/>
          </w:tcPr>
          <w:p>
            <w:pPr>
              <w:jc w:val="right"/>
              <w:rPr>
                <w:rFonts w:ascii="仿宋_GB2312" w:hAnsi="宋体" w:eastAsia="仿宋_GB2312"/>
                <w:color w:val="auto"/>
                <w:kern w:val="0"/>
                <w:sz w:val="16"/>
                <w:szCs w:val="16"/>
              </w:rPr>
            </w:pPr>
            <w:r>
              <w:rPr>
                <w:rFonts w:hint="eastAsia" w:ascii="仿宋_GB2312" w:eastAsia="仿宋_GB2312"/>
                <w:color w:val="auto"/>
                <w:sz w:val="20"/>
                <w:szCs w:val="20"/>
                <w:highlight w:val="none"/>
                <w:lang w:val="en-US" w:eastAsia="zh-CN"/>
              </w:rPr>
              <w:t>133.15</w:t>
            </w:r>
          </w:p>
        </w:tc>
        <w:tc>
          <w:tcPr>
            <w:tcW w:w="759" w:type="dxa"/>
            <w:vAlign w:val="center"/>
          </w:tcPr>
          <w:p>
            <w:pPr>
              <w:jc w:val="right"/>
              <w:rPr>
                <w:rFonts w:ascii="仿宋_GB2312" w:hAnsi="宋体" w:eastAsia="仿宋_GB2312"/>
                <w:color w:val="FF0000"/>
                <w:kern w:val="0"/>
                <w:sz w:val="16"/>
                <w:szCs w:val="16"/>
              </w:rPr>
            </w:pPr>
          </w:p>
        </w:tc>
        <w:tc>
          <w:tcPr>
            <w:tcW w:w="932" w:type="dxa"/>
            <w:vAlign w:val="center"/>
          </w:tcPr>
          <w:p>
            <w:pPr>
              <w:jc w:val="right"/>
              <w:rPr>
                <w:color w:val="FF0000"/>
              </w:rPr>
            </w:pPr>
          </w:p>
        </w:tc>
        <w:tc>
          <w:tcPr>
            <w:tcW w:w="889" w:type="dxa"/>
            <w:vAlign w:val="center"/>
          </w:tcPr>
          <w:p>
            <w:pPr>
              <w:jc w:val="right"/>
              <w:rPr>
                <w:rFonts w:ascii="仿宋_GB2312" w:hAnsi="宋体" w:eastAsia="仿宋_GB2312"/>
                <w:color w:val="FF0000"/>
                <w:kern w:val="0"/>
                <w:sz w:val="16"/>
                <w:szCs w:val="16"/>
              </w:rPr>
            </w:pPr>
          </w:p>
        </w:tc>
        <w:tc>
          <w:tcPr>
            <w:tcW w:w="607" w:type="dxa"/>
            <w:vAlign w:val="center"/>
          </w:tcPr>
          <w:p>
            <w:pPr>
              <w:jc w:val="right"/>
              <w:rPr>
                <w:rFonts w:ascii="仿宋_GB2312" w:hAnsi="宋体" w:eastAsia="仿宋_GB2312"/>
                <w:color w:val="FF0000"/>
                <w:kern w:val="0"/>
                <w:sz w:val="16"/>
                <w:szCs w:val="16"/>
              </w:rPr>
            </w:pPr>
          </w:p>
        </w:tc>
        <w:tc>
          <w:tcPr>
            <w:tcW w:w="730" w:type="dxa"/>
            <w:vAlign w:val="center"/>
          </w:tcPr>
          <w:p>
            <w:pPr>
              <w:jc w:val="right"/>
              <w:rPr>
                <w:rFonts w:ascii="仿宋_GB2312" w:hAnsi="宋体" w:eastAsia="仿宋_GB2312"/>
                <w:color w:val="FF0000"/>
                <w:kern w:val="0"/>
                <w:sz w:val="16"/>
                <w:szCs w:val="16"/>
              </w:rPr>
            </w:pPr>
          </w:p>
        </w:tc>
        <w:tc>
          <w:tcPr>
            <w:tcW w:w="731" w:type="dxa"/>
            <w:vAlign w:val="center"/>
          </w:tcPr>
          <w:p>
            <w:pPr>
              <w:jc w:val="right"/>
              <w:rPr>
                <w:rFonts w:ascii="仿宋_GB2312" w:hAnsi="宋体" w:eastAsia="仿宋_GB2312"/>
                <w:color w:val="FF0000"/>
                <w:kern w:val="0"/>
                <w:sz w:val="16"/>
                <w:szCs w:val="16"/>
              </w:rPr>
            </w:pPr>
          </w:p>
        </w:tc>
        <w:tc>
          <w:tcPr>
            <w:tcW w:w="731" w:type="dxa"/>
            <w:vAlign w:val="center"/>
          </w:tcPr>
          <w:p>
            <w:pPr>
              <w:jc w:val="right"/>
              <w:rPr>
                <w:rFonts w:ascii="仿宋_GB2312" w:hAnsi="宋体" w:eastAsia="仿宋_GB2312"/>
                <w:color w:val="FF0000"/>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99</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其他农业农村支出</w:t>
            </w:r>
          </w:p>
        </w:tc>
        <w:tc>
          <w:tcPr>
            <w:tcW w:w="1815" w:type="dxa"/>
            <w:vAlign w:val="center"/>
          </w:tcPr>
          <w:p>
            <w:pPr>
              <w:jc w:val="left"/>
            </w:pPr>
            <w:r>
              <w:rPr>
                <w:rFonts w:hint="eastAsia" w:ascii="仿宋_GB2312" w:eastAsia="仿宋_GB2312"/>
                <w:color w:val="auto"/>
                <w:sz w:val="20"/>
                <w:szCs w:val="20"/>
                <w:highlight w:val="none"/>
                <w:lang w:val="en-US" w:eastAsia="zh-CN"/>
              </w:rPr>
              <w:t>全口径项目</w:t>
            </w:r>
          </w:p>
        </w:tc>
        <w:tc>
          <w:tcPr>
            <w:tcW w:w="1200" w:type="dxa"/>
            <w:vAlign w:val="center"/>
          </w:tcPr>
          <w:p>
            <w:pPr>
              <w:jc w:val="right"/>
            </w:pPr>
            <w:r>
              <w:rPr>
                <w:rFonts w:hint="eastAsia" w:ascii="仿宋_GB2312" w:eastAsia="仿宋_GB2312"/>
                <w:color w:val="auto"/>
                <w:sz w:val="20"/>
                <w:szCs w:val="20"/>
                <w:highlight w:val="none"/>
                <w:lang w:val="en-US" w:eastAsia="zh-CN"/>
              </w:rPr>
              <w:t>607.00</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607.00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607.00</w:t>
            </w: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其他农业农村支出</w:t>
            </w:r>
          </w:p>
        </w:tc>
        <w:tc>
          <w:tcPr>
            <w:tcW w:w="1815" w:type="dxa"/>
            <w:vAlign w:val="center"/>
          </w:tcPr>
          <w:p>
            <w:pPr>
              <w:jc w:val="left"/>
              <w:rPr>
                <w:rFonts w:hint="default" w:eastAsiaTheme="minorEastAsia"/>
                <w:lang w:val="en-US" w:eastAsia="zh-CN"/>
              </w:rPr>
            </w:pPr>
            <w:r>
              <w:rPr>
                <w:rFonts w:hint="eastAsia" w:ascii="仿宋_GB2312" w:eastAsia="仿宋_GB2312"/>
                <w:color w:val="auto"/>
                <w:sz w:val="20"/>
                <w:szCs w:val="20"/>
                <w:highlight w:val="none"/>
                <w:lang w:val="en-US" w:eastAsia="zh-CN"/>
              </w:rPr>
              <w:t>2024年第二轮土地承包到期后再延长30年试点工作经费</w:t>
            </w:r>
          </w:p>
        </w:tc>
        <w:tc>
          <w:tcPr>
            <w:tcW w:w="1200" w:type="dxa"/>
            <w:vAlign w:val="center"/>
          </w:tcPr>
          <w:p>
            <w:pPr>
              <w:jc w:val="right"/>
              <w:rPr>
                <w:rFonts w:hint="eastAsia"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15.00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15.00</w:t>
            </w:r>
          </w:p>
        </w:tc>
        <w:tc>
          <w:tcPr>
            <w:tcW w:w="1104" w:type="dxa"/>
            <w:vAlign w:val="center"/>
          </w:tcPr>
          <w:p>
            <w:pPr>
              <w:jc w:val="right"/>
              <w:rPr>
                <w:rFonts w:hint="eastAsia" w:ascii="仿宋_GB2312" w:eastAsia="仿宋_GB2312"/>
                <w:color w:val="auto"/>
                <w:sz w:val="20"/>
                <w:szCs w:val="20"/>
                <w:highlight w:val="none"/>
                <w:lang w:val="en-US" w:eastAsia="zh-CN"/>
              </w:rPr>
            </w:pP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75" w:type="dxa"/>
            <w:vAlign w:val="center"/>
          </w:tcPr>
          <w:p>
            <w:pPr>
              <w:jc w:val="left"/>
              <w:rPr>
                <w:rFonts w:ascii="仿宋_GB2312" w:hAnsi="宋体" w:eastAsia="仿宋_GB2312"/>
                <w:kern w:val="0"/>
                <w:sz w:val="16"/>
                <w:szCs w:val="16"/>
              </w:rPr>
            </w:pPr>
            <w:r>
              <w:rPr>
                <w:rFonts w:hint="eastAsia" w:ascii="仿宋_GB2312" w:hAnsi="宋体" w:eastAsia="仿宋_GB2312"/>
                <w:kern w:val="0"/>
                <w:sz w:val="16"/>
                <w:szCs w:val="16"/>
                <w:lang w:val="en-US" w:eastAsia="zh-CN"/>
              </w:rPr>
              <w:t>99</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其他农业农村支出</w:t>
            </w:r>
          </w:p>
        </w:tc>
        <w:tc>
          <w:tcPr>
            <w:tcW w:w="1815" w:type="dxa"/>
            <w:vAlign w:val="center"/>
          </w:tcPr>
          <w:p>
            <w:pPr>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2024年农村土地承包纠纷仲裁工作经费</w:t>
            </w:r>
          </w:p>
        </w:tc>
        <w:tc>
          <w:tcPr>
            <w:tcW w:w="1200" w:type="dxa"/>
            <w:vAlign w:val="center"/>
          </w:tcPr>
          <w:p>
            <w:pPr>
              <w:jc w:val="right"/>
              <w:rPr>
                <w:rFonts w:hint="eastAsia" w:ascii="仿宋_GB2312" w:hAnsi="仿宋_GB2312" w:eastAsia="仿宋_GB2312" w:cs="仿宋_GB2312"/>
                <w:color w:val="auto"/>
                <w:sz w:val="21"/>
                <w:szCs w:val="21"/>
                <w:highlight w:val="none"/>
                <w:lang w:val="en-US" w:eastAsia="zh-CN"/>
              </w:rPr>
            </w:pPr>
          </w:p>
        </w:tc>
        <w:tc>
          <w:tcPr>
            <w:tcW w:w="1005" w:type="dxa"/>
            <w:vAlign w:val="center"/>
          </w:tcPr>
          <w:p>
            <w:pPr>
              <w:jc w:val="right"/>
              <w:rPr>
                <w:rFonts w:hint="default"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1.00</w:t>
            </w:r>
          </w:p>
        </w:tc>
        <w:tc>
          <w:tcPr>
            <w:tcW w:w="365" w:type="dxa"/>
            <w:vAlign w:val="center"/>
          </w:tcPr>
          <w:p>
            <w:pPr>
              <w:jc w:val="right"/>
              <w:rPr>
                <w:rFonts w:hint="eastAsia" w:ascii="仿宋_GB2312" w:hAnsi="仿宋_GB2312" w:eastAsia="仿宋_GB2312" w:cs="仿宋_GB2312"/>
                <w:kern w:val="0"/>
                <w:sz w:val="21"/>
                <w:szCs w:val="21"/>
              </w:rPr>
            </w:pP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1.00</w:t>
            </w:r>
          </w:p>
        </w:tc>
        <w:tc>
          <w:tcPr>
            <w:tcW w:w="1104" w:type="dxa"/>
            <w:vAlign w:val="center"/>
          </w:tcPr>
          <w:p>
            <w:pPr>
              <w:jc w:val="right"/>
              <w:rPr>
                <w:rFonts w:hint="eastAsia" w:ascii="仿宋_GB2312" w:hAnsi="仿宋_GB2312" w:eastAsia="仿宋_GB2312" w:cs="仿宋_GB2312"/>
                <w:color w:val="auto"/>
                <w:sz w:val="21"/>
                <w:szCs w:val="21"/>
                <w:highlight w:val="none"/>
                <w:lang w:val="en-US" w:eastAsia="zh-CN"/>
              </w:rPr>
            </w:pPr>
          </w:p>
        </w:tc>
        <w:tc>
          <w:tcPr>
            <w:tcW w:w="759" w:type="dxa"/>
            <w:vAlign w:val="center"/>
          </w:tcPr>
          <w:p>
            <w:pPr>
              <w:jc w:val="right"/>
              <w:rPr>
                <w:rFonts w:hint="eastAsia" w:ascii="仿宋_GB2312" w:hAnsi="仿宋_GB2312" w:eastAsia="仿宋_GB2312" w:cs="仿宋_GB2312"/>
                <w:kern w:val="0"/>
                <w:sz w:val="21"/>
                <w:szCs w:val="21"/>
              </w:rPr>
            </w:pPr>
          </w:p>
        </w:tc>
        <w:tc>
          <w:tcPr>
            <w:tcW w:w="932" w:type="dxa"/>
            <w:vAlign w:val="center"/>
          </w:tcPr>
          <w:p>
            <w:pPr>
              <w:jc w:val="right"/>
              <w:rPr>
                <w:rFonts w:hint="eastAsia" w:ascii="仿宋_GB2312" w:hAnsi="仿宋_GB2312" w:eastAsia="仿宋_GB2312" w:cs="仿宋_GB2312"/>
                <w:sz w:val="21"/>
                <w:szCs w:val="21"/>
              </w:rPr>
            </w:pPr>
          </w:p>
        </w:tc>
        <w:tc>
          <w:tcPr>
            <w:tcW w:w="889" w:type="dxa"/>
            <w:vAlign w:val="center"/>
          </w:tcPr>
          <w:p>
            <w:pPr>
              <w:jc w:val="right"/>
              <w:rPr>
                <w:rFonts w:hint="eastAsia" w:ascii="仿宋_GB2312" w:hAnsi="仿宋_GB2312" w:eastAsia="仿宋_GB2312" w:cs="仿宋_GB2312"/>
                <w:kern w:val="0"/>
                <w:sz w:val="21"/>
                <w:szCs w:val="21"/>
              </w:rPr>
            </w:pPr>
          </w:p>
        </w:tc>
        <w:tc>
          <w:tcPr>
            <w:tcW w:w="607" w:type="dxa"/>
            <w:vAlign w:val="center"/>
          </w:tcPr>
          <w:p>
            <w:pPr>
              <w:jc w:val="right"/>
              <w:rPr>
                <w:rFonts w:hint="eastAsia" w:ascii="仿宋_GB2312" w:hAnsi="仿宋_GB2312" w:eastAsia="仿宋_GB2312" w:cs="仿宋_GB2312"/>
                <w:kern w:val="0"/>
                <w:sz w:val="21"/>
                <w:szCs w:val="21"/>
              </w:rPr>
            </w:pPr>
          </w:p>
        </w:tc>
        <w:tc>
          <w:tcPr>
            <w:tcW w:w="730" w:type="dxa"/>
            <w:vAlign w:val="center"/>
          </w:tcPr>
          <w:p>
            <w:pPr>
              <w:jc w:val="right"/>
              <w:rPr>
                <w:rFonts w:hint="eastAsia" w:ascii="仿宋_GB2312" w:hAnsi="仿宋_GB2312" w:eastAsia="仿宋_GB2312" w:cs="仿宋_GB2312"/>
                <w:kern w:val="0"/>
                <w:sz w:val="21"/>
                <w:szCs w:val="21"/>
              </w:rPr>
            </w:pPr>
          </w:p>
        </w:tc>
        <w:tc>
          <w:tcPr>
            <w:tcW w:w="731" w:type="dxa"/>
            <w:vAlign w:val="center"/>
          </w:tcPr>
          <w:p>
            <w:pPr>
              <w:jc w:val="right"/>
              <w:rPr>
                <w:rFonts w:hint="eastAsia" w:ascii="仿宋_GB2312" w:hAnsi="仿宋_GB2312" w:eastAsia="仿宋_GB2312" w:cs="仿宋_GB2312"/>
                <w:kern w:val="0"/>
                <w:sz w:val="21"/>
                <w:szCs w:val="21"/>
              </w:rPr>
            </w:pPr>
          </w:p>
        </w:tc>
        <w:tc>
          <w:tcPr>
            <w:tcW w:w="731" w:type="dxa"/>
            <w:vAlign w:val="center"/>
          </w:tcPr>
          <w:p>
            <w:pPr>
              <w:jc w:val="right"/>
              <w:rPr>
                <w:rFonts w:hint="eastAsia"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675" w:type="dxa"/>
            <w:vAlign w:val="center"/>
          </w:tcPr>
          <w:p>
            <w:pPr>
              <w:jc w:val="left"/>
              <w:rPr>
                <w:rFonts w:ascii="仿宋_GB2312" w:hAnsi="宋体" w:eastAsia="仿宋_GB2312"/>
                <w:kern w:val="0"/>
                <w:sz w:val="16"/>
                <w:szCs w:val="16"/>
              </w:rPr>
            </w:pPr>
          </w:p>
        </w:tc>
        <w:tc>
          <w:tcPr>
            <w:tcW w:w="136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巩固脱贫攻坚成果衔接乡村振兴</w:t>
            </w:r>
          </w:p>
        </w:tc>
        <w:tc>
          <w:tcPr>
            <w:tcW w:w="1815" w:type="dxa"/>
            <w:vAlign w:val="center"/>
          </w:tcPr>
          <w:p>
            <w:pPr>
              <w:jc w:val="left"/>
            </w:pPr>
          </w:p>
        </w:tc>
        <w:tc>
          <w:tcPr>
            <w:tcW w:w="1200" w:type="dxa"/>
            <w:vAlign w:val="center"/>
          </w:tcPr>
          <w:p>
            <w:pPr>
              <w:jc w:val="right"/>
              <w:rPr>
                <w:rFonts w:hint="eastAsia"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33.20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33.2</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675"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巩固脱贫攻坚成果衔接乡村振兴</w:t>
            </w:r>
          </w:p>
        </w:tc>
        <w:tc>
          <w:tcPr>
            <w:tcW w:w="1815" w:type="dxa"/>
            <w:vAlign w:val="center"/>
          </w:tcPr>
          <w:p>
            <w:pPr>
              <w:jc w:val="left"/>
              <w:rPr>
                <w:rFonts w:hint="default" w:eastAsiaTheme="minorEastAsia"/>
                <w:lang w:val="en-US" w:eastAsia="zh-CN"/>
              </w:rPr>
            </w:pPr>
            <w:r>
              <w:rPr>
                <w:rFonts w:hint="eastAsia" w:ascii="仿宋_GB2312" w:eastAsia="仿宋_GB2312"/>
                <w:color w:val="auto"/>
                <w:sz w:val="20"/>
                <w:szCs w:val="20"/>
                <w:highlight w:val="none"/>
                <w:lang w:val="en-US" w:eastAsia="zh-CN"/>
              </w:rPr>
              <w:t>其他巩固脱贫攻坚成果衔接乡村振兴支出</w:t>
            </w:r>
          </w:p>
        </w:tc>
        <w:tc>
          <w:tcPr>
            <w:tcW w:w="1200" w:type="dxa"/>
            <w:vAlign w:val="center"/>
          </w:tcPr>
          <w:p>
            <w:pPr>
              <w:jc w:val="right"/>
              <w:rPr>
                <w:rFonts w:hint="eastAsia" w:ascii="仿宋_GB2312" w:eastAsia="仿宋_GB2312"/>
                <w:color w:val="auto"/>
                <w:sz w:val="20"/>
                <w:szCs w:val="20"/>
                <w:highlight w:val="none"/>
                <w:lang w:val="en-US" w:eastAsia="zh-CN"/>
              </w:rPr>
            </w:pP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33.20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33.20</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08</w:t>
            </w:r>
          </w:p>
        </w:tc>
        <w:tc>
          <w:tcPr>
            <w:tcW w:w="675" w:type="dxa"/>
            <w:vAlign w:val="center"/>
          </w:tcPr>
          <w:p>
            <w:pPr>
              <w:jc w:val="left"/>
              <w:rPr>
                <w:rFonts w:ascii="仿宋_GB2312" w:hAnsi="宋体" w:eastAsia="仿宋_GB2312"/>
                <w:kern w:val="0"/>
                <w:sz w:val="16"/>
                <w:szCs w:val="16"/>
              </w:rPr>
            </w:pP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普惠金融发展支出</w:t>
            </w:r>
          </w:p>
        </w:tc>
        <w:tc>
          <w:tcPr>
            <w:tcW w:w="1815" w:type="dxa"/>
            <w:vAlign w:val="center"/>
          </w:tcPr>
          <w:p>
            <w:pPr>
              <w:jc w:val="left"/>
            </w:pPr>
          </w:p>
        </w:tc>
        <w:tc>
          <w:tcPr>
            <w:tcW w:w="1200" w:type="dxa"/>
            <w:vAlign w:val="center"/>
          </w:tcPr>
          <w:p>
            <w:pPr>
              <w:jc w:val="right"/>
            </w:pPr>
            <w:r>
              <w:rPr>
                <w:rFonts w:hint="eastAsia" w:ascii="仿宋_GB2312" w:eastAsia="仿宋_GB2312"/>
                <w:color w:val="auto"/>
                <w:sz w:val="20"/>
                <w:szCs w:val="20"/>
                <w:highlight w:val="none"/>
                <w:lang w:val="en-US" w:eastAsia="zh-CN"/>
              </w:rPr>
              <w:t>5,525.96</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5527.05</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hint="default" w:ascii="仿宋_GB2312" w:hAnsi="宋体" w:eastAsia="仿宋_GB2312"/>
                <w:kern w:val="0"/>
                <w:sz w:val="16"/>
                <w:szCs w:val="16"/>
                <w:lang w:val="en-US"/>
              </w:rPr>
            </w:pPr>
            <w:r>
              <w:rPr>
                <w:rFonts w:hint="eastAsia" w:ascii="仿宋_GB2312" w:hAnsi="宋体" w:eastAsia="仿宋_GB2312" w:cs="宋体"/>
                <w:kern w:val="0"/>
                <w:sz w:val="16"/>
                <w:szCs w:val="16"/>
                <w:lang w:val="en-US" w:eastAsia="zh-CN"/>
              </w:rPr>
              <w:t>5527.05</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08</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03</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农业保险保费补贴</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关于提前下达2024年中央和地方政策性农业保险保费补贴市级配套资金的通知</w:t>
            </w:r>
          </w:p>
        </w:tc>
        <w:tc>
          <w:tcPr>
            <w:tcW w:w="1200" w:type="dxa"/>
            <w:vAlign w:val="center"/>
          </w:tcPr>
          <w:p>
            <w:pPr>
              <w:jc w:val="right"/>
            </w:pPr>
            <w:r>
              <w:rPr>
                <w:rFonts w:hint="eastAsia" w:ascii="仿宋_GB2312" w:eastAsia="仿宋_GB2312"/>
                <w:color w:val="auto"/>
                <w:sz w:val="20"/>
                <w:szCs w:val="20"/>
                <w:highlight w:val="none"/>
                <w:lang w:val="en-US" w:eastAsia="zh-CN"/>
              </w:rPr>
              <w:t>550.00</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550.00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550.00</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08</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03</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农业保险保费补贴</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关于提前下达自治区本级财政2024年农业保险保费补贴资金的通知</w:t>
            </w:r>
          </w:p>
        </w:tc>
        <w:tc>
          <w:tcPr>
            <w:tcW w:w="1200" w:type="dxa"/>
            <w:vAlign w:val="center"/>
          </w:tcPr>
          <w:p>
            <w:pPr>
              <w:jc w:val="right"/>
            </w:pPr>
            <w:r>
              <w:rPr>
                <w:rFonts w:hint="eastAsia" w:ascii="仿宋_GB2312" w:eastAsia="仿宋_GB2312"/>
                <w:color w:val="auto"/>
                <w:sz w:val="20"/>
                <w:szCs w:val="20"/>
                <w:highlight w:val="none"/>
                <w:lang w:val="en-US" w:eastAsia="zh-CN"/>
              </w:rPr>
              <w:t>954.00</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954.00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954.00</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08</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03</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农业保险保费补贴</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关于提前下达2024年中央财政农业保险保费补贴预算资金的通知</w:t>
            </w:r>
          </w:p>
        </w:tc>
        <w:tc>
          <w:tcPr>
            <w:tcW w:w="1200" w:type="dxa"/>
            <w:vAlign w:val="center"/>
          </w:tcPr>
          <w:p>
            <w:pPr>
              <w:jc w:val="right"/>
            </w:pPr>
            <w:r>
              <w:rPr>
                <w:rFonts w:hint="eastAsia" w:ascii="仿宋_GB2312" w:eastAsia="仿宋_GB2312"/>
                <w:color w:val="auto"/>
                <w:sz w:val="20"/>
                <w:szCs w:val="20"/>
                <w:highlight w:val="none"/>
                <w:lang w:val="en-US" w:eastAsia="zh-CN"/>
              </w:rPr>
              <w:t>2,000.00</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2,000.00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2,000.00</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08</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03</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农业保险保费补贴</w:t>
            </w:r>
          </w:p>
        </w:tc>
        <w:tc>
          <w:tcPr>
            <w:tcW w:w="1815" w:type="dxa"/>
            <w:vAlign w:val="center"/>
          </w:tcPr>
          <w:p>
            <w:pPr>
              <w:jc w:val="left"/>
            </w:pPr>
            <w:r>
              <w:rPr>
                <w:rFonts w:hint="eastAsia" w:ascii="仿宋_GB2312" w:eastAsia="仿宋_GB2312"/>
                <w:color w:val="auto"/>
                <w:sz w:val="20"/>
                <w:szCs w:val="20"/>
                <w:highlight w:val="none"/>
                <w:lang w:val="en-US" w:eastAsia="zh-CN"/>
              </w:rPr>
              <w:t>关于提前下达自治区本级财政2024年第二批农业保险保费补贴资金的通知</w:t>
            </w:r>
          </w:p>
        </w:tc>
        <w:tc>
          <w:tcPr>
            <w:tcW w:w="1200" w:type="dxa"/>
            <w:vAlign w:val="center"/>
          </w:tcPr>
          <w:p>
            <w:pPr>
              <w:jc w:val="right"/>
            </w:pPr>
            <w:r>
              <w:rPr>
                <w:rFonts w:hint="eastAsia" w:ascii="仿宋_GB2312" w:eastAsia="仿宋_GB2312"/>
                <w:color w:val="auto"/>
                <w:sz w:val="20"/>
                <w:szCs w:val="20"/>
                <w:highlight w:val="none"/>
                <w:lang w:val="en-US" w:eastAsia="zh-CN"/>
              </w:rPr>
              <w:t>300.00</w:t>
            </w:r>
          </w:p>
        </w:tc>
        <w:tc>
          <w:tcPr>
            <w:tcW w:w="1005"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300.00</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300.00</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6" w:hRule="atLeast"/>
          <w:jc w:val="center"/>
        </w:trPr>
        <w:tc>
          <w:tcPr>
            <w:tcW w:w="61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213</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08</w:t>
            </w:r>
          </w:p>
        </w:tc>
        <w:tc>
          <w:tcPr>
            <w:tcW w:w="67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03</w:t>
            </w:r>
          </w:p>
        </w:tc>
        <w:tc>
          <w:tcPr>
            <w:tcW w:w="136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农业保险保费补贴</w:t>
            </w:r>
          </w:p>
        </w:tc>
        <w:tc>
          <w:tcPr>
            <w:tcW w:w="1815" w:type="dxa"/>
            <w:vAlign w:val="center"/>
          </w:tcPr>
          <w:p>
            <w:pPr>
              <w:jc w:val="left"/>
            </w:pPr>
            <w:r>
              <w:rPr>
                <w:rFonts w:hint="eastAsia" w:ascii="仿宋_GB2312" w:eastAsia="仿宋_GB2312"/>
                <w:color w:val="auto"/>
                <w:sz w:val="20"/>
                <w:szCs w:val="20"/>
                <w:highlight w:val="none"/>
                <w:lang w:val="en-US" w:eastAsia="zh-CN"/>
              </w:rPr>
              <w:t>特定类—2024年政策性农业保险保费</w:t>
            </w:r>
          </w:p>
        </w:tc>
        <w:tc>
          <w:tcPr>
            <w:tcW w:w="1200" w:type="dxa"/>
            <w:vAlign w:val="center"/>
          </w:tcPr>
          <w:p>
            <w:pPr>
              <w:jc w:val="right"/>
            </w:pPr>
            <w:r>
              <w:rPr>
                <w:rFonts w:hint="eastAsia" w:ascii="仿宋_GB2312" w:eastAsia="仿宋_GB2312"/>
                <w:color w:val="auto"/>
                <w:sz w:val="20"/>
                <w:szCs w:val="20"/>
                <w:highlight w:val="none"/>
                <w:lang w:val="en-US" w:eastAsia="zh-CN"/>
              </w:rPr>
              <w:t>1,721.96</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1723.05</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1104" w:type="dxa"/>
            <w:vAlign w:val="center"/>
          </w:tcPr>
          <w:p>
            <w:pPr>
              <w:jc w:val="right"/>
              <w:rPr>
                <w:rFonts w:hint="default" w:ascii="仿宋_GB2312" w:hAnsi="宋体" w:eastAsia="仿宋_GB2312"/>
                <w:kern w:val="0"/>
                <w:sz w:val="16"/>
                <w:szCs w:val="16"/>
                <w:lang w:val="en-US"/>
              </w:rPr>
            </w:pPr>
            <w:r>
              <w:rPr>
                <w:rFonts w:hint="eastAsia" w:ascii="仿宋_GB2312" w:eastAsia="仿宋_GB2312"/>
                <w:color w:val="auto"/>
                <w:sz w:val="20"/>
                <w:szCs w:val="20"/>
                <w:highlight w:val="none"/>
                <w:lang w:val="en-US" w:eastAsia="zh-CN"/>
              </w:rPr>
              <w:t>1723.05</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pPr>
          </w:p>
        </w:tc>
        <w:tc>
          <w:tcPr>
            <w:tcW w:w="889" w:type="dxa"/>
            <w:vAlign w:val="center"/>
          </w:tcPr>
          <w:p>
            <w:pPr>
              <w:jc w:val="right"/>
              <w:rPr>
                <w:rFonts w:ascii="仿宋_GB2312" w:hAnsi="宋体" w:eastAsia="仿宋_GB2312"/>
                <w:kern w:val="0"/>
                <w:sz w:val="16"/>
                <w:szCs w:val="16"/>
              </w:rPr>
            </w:pP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615" w:type="dxa"/>
            <w:vAlign w:val="center"/>
          </w:tcPr>
          <w:p>
            <w:pPr>
              <w:jc w:val="left"/>
              <w:rPr>
                <w:rFonts w:ascii="仿宋_GB2312" w:hAnsi="宋体" w:eastAsia="仿宋_GB2312"/>
                <w:kern w:val="0"/>
                <w:sz w:val="16"/>
                <w:szCs w:val="16"/>
              </w:rPr>
            </w:pPr>
          </w:p>
        </w:tc>
        <w:tc>
          <w:tcPr>
            <w:tcW w:w="675" w:type="dxa"/>
            <w:vAlign w:val="center"/>
          </w:tcPr>
          <w:p>
            <w:pPr>
              <w:jc w:val="left"/>
              <w:rPr>
                <w:rFonts w:ascii="仿宋_GB2312" w:hAnsi="宋体" w:eastAsia="仿宋_GB2312"/>
                <w:kern w:val="0"/>
                <w:sz w:val="16"/>
                <w:szCs w:val="16"/>
              </w:rPr>
            </w:pPr>
          </w:p>
        </w:tc>
        <w:tc>
          <w:tcPr>
            <w:tcW w:w="675" w:type="dxa"/>
            <w:vAlign w:val="center"/>
          </w:tcPr>
          <w:p>
            <w:pPr>
              <w:jc w:val="left"/>
              <w:rPr>
                <w:rFonts w:ascii="仿宋_GB2312" w:hAnsi="宋体" w:eastAsia="仿宋_GB2312"/>
                <w:kern w:val="0"/>
                <w:sz w:val="16"/>
                <w:szCs w:val="16"/>
              </w:rPr>
            </w:pPr>
          </w:p>
        </w:tc>
        <w:tc>
          <w:tcPr>
            <w:tcW w:w="1365"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r>
              <w:rPr>
                <w:rFonts w:hint="eastAsia" w:ascii="仿宋_GB2312" w:hAnsi="宋体" w:eastAsia="仿宋_GB2312" w:cs="仿宋_GB2312"/>
                <w:i w:val="0"/>
                <w:color w:val="000000"/>
                <w:kern w:val="0"/>
                <w:sz w:val="20"/>
                <w:szCs w:val="20"/>
                <w:u w:val="none"/>
                <w:lang w:val="en-US" w:eastAsia="zh-CN" w:bidi="ar"/>
              </w:rPr>
              <w:t>合计</w:t>
            </w:r>
          </w:p>
        </w:tc>
        <w:tc>
          <w:tcPr>
            <w:tcW w:w="1815" w:type="dxa"/>
            <w:vAlign w:val="center"/>
          </w:tcPr>
          <w:p>
            <w:pPr>
              <w:jc w:val="left"/>
            </w:pPr>
          </w:p>
        </w:tc>
        <w:tc>
          <w:tcPr>
            <w:tcW w:w="1200" w:type="dxa"/>
            <w:vAlign w:val="center"/>
          </w:tcPr>
          <w:p>
            <w:pPr>
              <w:jc w:val="right"/>
              <w:rPr>
                <w:rFonts w:hint="default" w:eastAsiaTheme="minorEastAsia"/>
                <w:lang w:val="en-US" w:eastAsia="zh-CN"/>
              </w:rPr>
            </w:pPr>
            <w:r>
              <w:rPr>
                <w:rFonts w:hint="eastAsia"/>
                <w:lang w:val="en-US" w:eastAsia="zh-CN"/>
              </w:rPr>
              <w:t>15753.19</w:t>
            </w:r>
          </w:p>
        </w:tc>
        <w:tc>
          <w:tcPr>
            <w:tcW w:w="1005"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21320.5</w:t>
            </w:r>
          </w:p>
        </w:tc>
        <w:tc>
          <w:tcPr>
            <w:tcW w:w="365"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eastAsiaTheme="minorEastAsia"/>
                <w:lang w:val="en-US" w:eastAsia="zh-CN"/>
              </w:rPr>
            </w:pPr>
            <w:r>
              <w:rPr>
                <w:rFonts w:hint="eastAsia"/>
                <w:lang w:val="en-US" w:eastAsia="zh-CN"/>
              </w:rPr>
              <w:t>1379</w:t>
            </w:r>
          </w:p>
        </w:tc>
        <w:tc>
          <w:tcPr>
            <w:tcW w:w="1104"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16672.5</w:t>
            </w:r>
          </w:p>
        </w:tc>
        <w:tc>
          <w:tcPr>
            <w:tcW w:w="759" w:type="dxa"/>
            <w:vAlign w:val="center"/>
          </w:tcPr>
          <w:p>
            <w:pPr>
              <w:jc w:val="right"/>
              <w:rPr>
                <w:rFonts w:ascii="仿宋_GB2312" w:hAnsi="宋体" w:eastAsia="仿宋_GB2312"/>
                <w:kern w:val="0"/>
                <w:sz w:val="16"/>
                <w:szCs w:val="16"/>
              </w:rPr>
            </w:pPr>
          </w:p>
        </w:tc>
        <w:tc>
          <w:tcPr>
            <w:tcW w:w="932" w:type="dxa"/>
            <w:vAlign w:val="center"/>
          </w:tcPr>
          <w:p>
            <w:pPr>
              <w:jc w:val="right"/>
              <w:rPr>
                <w:rFonts w:hint="default" w:eastAsiaTheme="minorEastAsia"/>
                <w:lang w:val="en-US" w:eastAsia="zh-CN"/>
              </w:rPr>
            </w:pPr>
            <w:r>
              <w:rPr>
                <w:rFonts w:hint="eastAsia"/>
                <w:lang w:val="en-US" w:eastAsia="zh-CN"/>
              </w:rPr>
              <w:t>462</w:t>
            </w:r>
          </w:p>
        </w:tc>
        <w:tc>
          <w:tcPr>
            <w:tcW w:w="889"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2807</w:t>
            </w:r>
          </w:p>
        </w:tc>
        <w:tc>
          <w:tcPr>
            <w:tcW w:w="607"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bl>
    <w:p>
      <w:pPr>
        <w:rPr>
          <w:rFonts w:hint="eastAsia" w:ascii="仿宋_GB2312" w:hAnsi="仿宋_GB2312" w:eastAsia="仿宋_GB2312" w:cs="仿宋_GB2312"/>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
        <w:gridCol w:w="690"/>
        <w:gridCol w:w="760"/>
        <w:gridCol w:w="1688"/>
        <w:gridCol w:w="742"/>
        <w:gridCol w:w="865"/>
        <w:gridCol w:w="632"/>
        <w:gridCol w:w="769"/>
        <w:gridCol w:w="974"/>
        <w:gridCol w:w="1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gridAfter w:val="9"/>
          <w:wAfter w:w="8216" w:type="dxa"/>
          <w:trHeight w:val="270" w:hRule="atLeast"/>
        </w:trPr>
        <w:tc>
          <w:tcPr>
            <w:tcW w:w="90" w:type="dxa"/>
            <w:shd w:val="clear" w:color="auto" w:fill="auto"/>
            <w:vAlign w:val="center"/>
          </w:tcPr>
          <w:p>
            <w:pPr>
              <w:rPr>
                <w:rFonts w:hint="eastAsia" w:ascii="微软雅黑" w:hAnsi="微软雅黑" w:eastAsia="微软雅黑" w:cs="微软雅黑"/>
                <w:caps w:val="0"/>
                <w:spacing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rPr>
        <w:tc>
          <w:tcPr>
            <w:tcW w:w="8306"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32"/>
                <w:szCs w:val="32"/>
                <w:u w:val="none"/>
              </w:rPr>
            </w:pPr>
            <w:r>
              <w:rPr>
                <w:rFonts w:hint="eastAsia" w:ascii="宋体" w:hAnsi="宋体" w:eastAsia="宋体" w:cs="宋体"/>
                <w:b/>
                <w:i w:val="0"/>
                <w:caps w:val="0"/>
                <w:color w:val="auto"/>
                <w:spacing w:val="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306"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4"/>
                <w:szCs w:val="24"/>
                <w:u w:val="none"/>
              </w:rPr>
            </w:pPr>
            <w:r>
              <w:rPr>
                <w:rFonts w:hint="eastAsia" w:ascii="宋体" w:hAnsi="宋体" w:eastAsia="宋体" w:cs="宋体"/>
                <w:i w:val="0"/>
                <w:caps w:val="0"/>
                <w:color w:val="auto"/>
                <w:spacing w:val="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54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预算单位</w:t>
            </w:r>
          </w:p>
        </w:tc>
        <w:tc>
          <w:tcPr>
            <w:tcW w:w="6766" w:type="dxa"/>
            <w:gridSpan w:val="7"/>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哈密市伊州区农业农村局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54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项目名称</w:t>
            </w:r>
          </w:p>
        </w:tc>
        <w:tc>
          <w:tcPr>
            <w:tcW w:w="3295"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2023年残膜无害化集中填埋处置项目</w:t>
            </w:r>
          </w:p>
        </w:tc>
        <w:tc>
          <w:tcPr>
            <w:tcW w:w="140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项目负责人</w:t>
            </w:r>
          </w:p>
        </w:tc>
        <w:tc>
          <w:tcPr>
            <w:tcW w:w="207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贺军勇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54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项目资金（万元）</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年度预算总额：</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730</w:t>
            </w:r>
          </w:p>
        </w:tc>
        <w:tc>
          <w:tcPr>
            <w:tcW w:w="865"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其中：财政拨款</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730</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其他资金：</w:t>
            </w:r>
          </w:p>
        </w:tc>
        <w:tc>
          <w:tcPr>
            <w:tcW w:w="207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abs>
                <w:tab w:val="left" w:pos="1260"/>
              </w:tabs>
              <w:ind w:right="1478" w:rightChars="704"/>
              <w:jc w:val="center"/>
              <w:rPr>
                <w:rFonts w:hint="eastAsia" w:ascii="宋体" w:hAnsi="宋体" w:eastAsia="宋体" w:cs="宋体"/>
                <w:i w:val="0"/>
                <w:caps w:val="0"/>
                <w:color w:val="auto"/>
                <w:spacing w:val="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540"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项目总体目标</w:t>
            </w:r>
          </w:p>
        </w:tc>
        <w:tc>
          <w:tcPr>
            <w:tcW w:w="6766" w:type="dxa"/>
            <w:gridSpan w:val="7"/>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aps w:val="0"/>
                <w:color w:val="auto"/>
                <w:spacing w:val="0"/>
                <w:sz w:val="18"/>
                <w:szCs w:val="18"/>
                <w:u w:val="none"/>
              </w:rPr>
            </w:pPr>
            <w:r>
              <w:rPr>
                <w:rFonts w:hint="eastAsia" w:ascii="宋体" w:hAnsi="宋体" w:eastAsia="宋体" w:cs="宋体"/>
                <w:i w:val="0"/>
                <w:caps w:val="0"/>
                <w:color w:val="auto"/>
                <w:spacing w:val="0"/>
                <w:kern w:val="0"/>
                <w:sz w:val="18"/>
                <w:szCs w:val="18"/>
                <w:u w:val="none"/>
                <w:lang w:val="en-US" w:eastAsia="zh-CN" w:bidi="ar"/>
              </w:rPr>
              <w:t>通过对残膜无害化集中填埋处置，加快完成问题整改销号工作，有效治理伊州区历年来农田废旧地膜污染治理问题。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一级指标</w:t>
            </w:r>
          </w:p>
        </w:tc>
        <w:tc>
          <w:tcPr>
            <w:tcW w:w="760"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二级指标</w:t>
            </w:r>
          </w:p>
        </w:tc>
        <w:tc>
          <w:tcPr>
            <w:tcW w:w="1688"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三级指标</w:t>
            </w:r>
          </w:p>
        </w:tc>
        <w:tc>
          <w:tcPr>
            <w:tcW w:w="742"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指标值</w:t>
            </w:r>
          </w:p>
        </w:tc>
        <w:tc>
          <w:tcPr>
            <w:tcW w:w="865"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指标值设置依据</w:t>
            </w:r>
          </w:p>
        </w:tc>
        <w:tc>
          <w:tcPr>
            <w:tcW w:w="632"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上年完成值</w:t>
            </w:r>
          </w:p>
        </w:tc>
        <w:tc>
          <w:tcPr>
            <w:tcW w:w="769"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指标分值权重</w:t>
            </w:r>
          </w:p>
        </w:tc>
        <w:tc>
          <w:tcPr>
            <w:tcW w:w="974"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指标赋分规则</w:t>
            </w:r>
          </w:p>
        </w:tc>
        <w:tc>
          <w:tcPr>
            <w:tcW w:w="1096" w:type="dxa"/>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aps w:val="0"/>
                <w:color w:val="auto"/>
                <w:spacing w:val="0"/>
                <w:sz w:val="18"/>
                <w:szCs w:val="18"/>
                <w:u w:val="none"/>
              </w:rPr>
            </w:pPr>
            <w:r>
              <w:rPr>
                <w:rFonts w:hint="eastAsia" w:ascii="宋体" w:hAnsi="宋体" w:eastAsia="宋体" w:cs="宋体"/>
                <w:b/>
                <w:i w:val="0"/>
                <w:caps w:val="0"/>
                <w:color w:val="auto"/>
                <w:spacing w:val="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产出指标</w:t>
            </w:r>
          </w:p>
        </w:tc>
        <w:tc>
          <w:tcPr>
            <w:tcW w:w="76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数量指标</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堆放点</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&gt;=40个</w:t>
            </w:r>
          </w:p>
        </w:tc>
        <w:tc>
          <w:tcPr>
            <w:tcW w:w="8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计划标准</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按照正常比例赋分</w:t>
            </w: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aps w:val="0"/>
                <w:color w:val="auto"/>
                <w:spacing w:val="0"/>
                <w:sz w:val="20"/>
                <w:szCs w:val="20"/>
                <w:u w:val="none"/>
              </w:rPr>
            </w:pPr>
          </w:p>
        </w:tc>
        <w:tc>
          <w:tcPr>
            <w:tcW w:w="760"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aps w:val="0"/>
                <w:color w:val="auto"/>
                <w:spacing w:val="0"/>
                <w:sz w:val="20"/>
                <w:szCs w:val="20"/>
                <w:u w:val="none"/>
              </w:rPr>
            </w:pP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参与乡镇数</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9个</w:t>
            </w:r>
          </w:p>
        </w:tc>
        <w:tc>
          <w:tcPr>
            <w:tcW w:w="8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计划标准</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按照正常比例赋分</w:t>
            </w: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aps w:val="0"/>
                <w:color w:val="auto"/>
                <w:spacing w:val="0"/>
                <w:sz w:val="20"/>
                <w:szCs w:val="20"/>
                <w:u w:val="none"/>
              </w:rPr>
            </w:pPr>
          </w:p>
        </w:tc>
        <w:tc>
          <w:tcPr>
            <w:tcW w:w="760"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aps w:val="0"/>
                <w:color w:val="auto"/>
                <w:spacing w:val="0"/>
                <w:sz w:val="20"/>
                <w:szCs w:val="20"/>
                <w:u w:val="none"/>
              </w:rPr>
            </w:pP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拉运填埋场所</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&gt;=3个</w:t>
            </w:r>
          </w:p>
        </w:tc>
        <w:tc>
          <w:tcPr>
            <w:tcW w:w="8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计划标准</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按照正常比例赋分</w:t>
            </w: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aps w:val="0"/>
                <w:color w:val="auto"/>
                <w:spacing w:val="0"/>
                <w:sz w:val="20"/>
                <w:szCs w:val="20"/>
                <w:u w:val="none"/>
              </w:rPr>
            </w:pPr>
          </w:p>
        </w:tc>
        <w:tc>
          <w:tcPr>
            <w:tcW w:w="7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时效指标</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项目完成时间</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&lt;=1年</w:t>
            </w:r>
          </w:p>
        </w:tc>
        <w:tc>
          <w:tcPr>
            <w:tcW w:w="8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计划标准</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按照正常比例赋分</w:t>
            </w: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成本指标</w:t>
            </w:r>
          </w:p>
        </w:tc>
        <w:tc>
          <w:tcPr>
            <w:tcW w:w="7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经济成本指标</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拉运填埋资金</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&lt;=730万元</w:t>
            </w:r>
          </w:p>
        </w:tc>
        <w:tc>
          <w:tcPr>
            <w:tcW w:w="8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预算支出标准</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20</w:t>
            </w:r>
          </w:p>
        </w:tc>
        <w:tc>
          <w:tcPr>
            <w:tcW w:w="9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按照正常比例赋分</w:t>
            </w: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效益指标</w:t>
            </w:r>
          </w:p>
        </w:tc>
        <w:tc>
          <w:tcPr>
            <w:tcW w:w="7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社会效益指标</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有效提升群众生活环境质量</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有效提升</w:t>
            </w:r>
          </w:p>
        </w:tc>
        <w:tc>
          <w:tcPr>
            <w:tcW w:w="8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计划标准</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按评判等级赋分</w:t>
            </w: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aps w:val="0"/>
                <w:color w:val="auto"/>
                <w:spacing w:val="0"/>
                <w:sz w:val="20"/>
                <w:szCs w:val="20"/>
                <w:u w:val="none"/>
              </w:rPr>
            </w:pPr>
          </w:p>
        </w:tc>
        <w:tc>
          <w:tcPr>
            <w:tcW w:w="7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生态效益指标</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有效治理农田废旧地膜污染问题</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有效治理</w:t>
            </w:r>
          </w:p>
        </w:tc>
        <w:tc>
          <w:tcPr>
            <w:tcW w:w="8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计划标准</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按评判等级赋分</w:t>
            </w: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8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满意度指标</w:t>
            </w:r>
          </w:p>
        </w:tc>
        <w:tc>
          <w:tcPr>
            <w:tcW w:w="7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满意度指标</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辖区群众满意度</w:t>
            </w:r>
          </w:p>
        </w:tc>
        <w:tc>
          <w:tcPr>
            <w:tcW w:w="7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&gt;=90%</w:t>
            </w:r>
          </w:p>
        </w:tc>
        <w:tc>
          <w:tcPr>
            <w:tcW w:w="8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计划标准</w:t>
            </w:r>
          </w:p>
        </w:tc>
        <w:tc>
          <w:tcPr>
            <w:tcW w:w="63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w:t>
            </w:r>
          </w:p>
        </w:tc>
        <w:tc>
          <w:tcPr>
            <w:tcW w:w="76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10</w:t>
            </w:r>
          </w:p>
        </w:tc>
        <w:tc>
          <w:tcPr>
            <w:tcW w:w="9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满意度赋分</w:t>
            </w: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aps w:val="0"/>
                <w:color w:val="auto"/>
                <w:spacing w:val="0"/>
                <w:sz w:val="20"/>
                <w:szCs w:val="20"/>
                <w:u w:val="none"/>
              </w:rPr>
            </w:pPr>
            <w:r>
              <w:rPr>
                <w:rFonts w:hint="eastAsia" w:ascii="宋体" w:hAnsi="宋体" w:eastAsia="宋体" w:cs="宋体"/>
                <w:i w:val="0"/>
                <w:caps w:val="0"/>
                <w:color w:val="auto"/>
                <w:spacing w:val="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3228" w:type="dxa"/>
            <w:gridSpan w:val="4"/>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aps w:val="0"/>
                <w:color w:val="000000"/>
                <w:spacing w:val="0"/>
                <w:sz w:val="22"/>
                <w:szCs w:val="22"/>
                <w:u w:val="none"/>
              </w:rPr>
            </w:pPr>
          </w:p>
        </w:tc>
        <w:tc>
          <w:tcPr>
            <w:tcW w:w="1607"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aps w:val="0"/>
                <w:color w:val="000000"/>
                <w:spacing w:val="0"/>
                <w:sz w:val="22"/>
                <w:szCs w:val="22"/>
                <w:u w:val="none"/>
              </w:rPr>
            </w:pPr>
          </w:p>
        </w:tc>
        <w:tc>
          <w:tcPr>
            <w:tcW w:w="632" w:type="dxa"/>
            <w:shd w:val="clear" w:color="auto" w:fill="auto"/>
            <w:vAlign w:val="center"/>
          </w:tcPr>
          <w:p>
            <w:pPr>
              <w:rPr>
                <w:rFonts w:hint="eastAsia" w:ascii="微软雅黑" w:hAnsi="微软雅黑" w:eastAsia="微软雅黑" w:cs="微软雅黑"/>
                <w:caps w:val="0"/>
                <w:spacing w:val="0"/>
                <w:sz w:val="24"/>
                <w:szCs w:val="24"/>
              </w:rPr>
            </w:pPr>
          </w:p>
        </w:tc>
        <w:tc>
          <w:tcPr>
            <w:tcW w:w="769" w:type="dxa"/>
            <w:shd w:val="clear" w:color="auto" w:fill="auto"/>
            <w:vAlign w:val="center"/>
          </w:tcPr>
          <w:p>
            <w:pPr>
              <w:rPr>
                <w:rFonts w:hint="eastAsia" w:ascii="微软雅黑" w:hAnsi="微软雅黑" w:eastAsia="微软雅黑" w:cs="微软雅黑"/>
                <w:caps w:val="0"/>
                <w:spacing w:val="0"/>
                <w:sz w:val="24"/>
                <w:szCs w:val="24"/>
              </w:rPr>
            </w:pPr>
          </w:p>
        </w:tc>
        <w:tc>
          <w:tcPr>
            <w:tcW w:w="974" w:type="dxa"/>
            <w:shd w:val="clear" w:color="auto" w:fill="auto"/>
            <w:vAlign w:val="center"/>
          </w:tcPr>
          <w:p>
            <w:pPr>
              <w:rPr>
                <w:rFonts w:hint="eastAsia" w:ascii="微软雅黑" w:hAnsi="微软雅黑" w:eastAsia="微软雅黑" w:cs="微软雅黑"/>
                <w:caps w:val="0"/>
                <w:spacing w:val="0"/>
                <w:sz w:val="24"/>
                <w:szCs w:val="24"/>
              </w:rPr>
            </w:pPr>
          </w:p>
        </w:tc>
        <w:tc>
          <w:tcPr>
            <w:tcW w:w="1096" w:type="dxa"/>
            <w:shd w:val="clear" w:color="auto" w:fill="auto"/>
            <w:vAlign w:val="center"/>
          </w:tcPr>
          <w:p>
            <w:pPr>
              <w:rPr>
                <w:rFonts w:hint="eastAsia" w:ascii="微软雅黑" w:hAnsi="微软雅黑" w:eastAsia="微软雅黑" w:cs="微软雅黑"/>
                <w:caps w:val="0"/>
                <w:spacing w:val="0"/>
                <w:sz w:val="24"/>
                <w:szCs w:val="24"/>
              </w:rPr>
            </w:pPr>
          </w:p>
        </w:tc>
      </w:tr>
    </w:tbl>
    <w:p>
      <w:pPr>
        <w:keepNext w:val="0"/>
        <w:keepLines w:val="0"/>
        <w:widowControl/>
        <w:suppressLineNumbers w:val="0"/>
        <w:jc w:val="left"/>
      </w:pPr>
    </w:p>
    <w:p/>
    <w:p/>
    <w:p/>
    <w:p/>
    <w:p/>
    <w:p/>
    <w:p/>
    <w:p>
      <w:r>
        <w:object>
          <v:shape id="_x0000_i1025" o:spt="75" type="#_x0000_t75" style="height:408.2pt;width:425.2pt;" o:ole="t" filled="f" o:preferrelative="t" stroked="f" coordsize="21600,21600">
            <v:path/>
            <v:fill on="f" focussize="0,0"/>
            <v:stroke on="f"/>
            <v:imagedata r:id="rId7" o:title=""/>
            <o:lock v:ext="edit" aspectratio="f"/>
            <w10:wrap type="none"/>
            <w10:anchorlock/>
          </v:shape>
          <o:OLEObject Type="Embed" ProgID="Office12.Excel.Template" ShapeID="_x0000_i1025" DrawAspect="Content" ObjectID="_1468075725" r:id="rId6">
            <o:LockedField>false</o:LockedField>
          </o:OLEObject>
        </w:object>
      </w:r>
    </w:p>
    <w:p/>
    <w:p/>
    <w:p/>
    <w:p/>
    <w:p/>
    <w:p/>
    <w:p/>
    <w:p/>
    <w:p/>
    <w:p/>
    <w:p/>
    <w:p/>
    <w:p/>
    <w:p/>
    <w:p/>
    <w:tbl>
      <w:tblPr>
        <w:tblStyle w:val="3"/>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73"/>
        <w:gridCol w:w="760"/>
        <w:gridCol w:w="1471"/>
        <w:gridCol w:w="829"/>
        <w:gridCol w:w="1049"/>
        <w:gridCol w:w="673"/>
        <w:gridCol w:w="912"/>
        <w:gridCol w:w="975"/>
        <w:gridCol w:w="10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833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jc w:val="center"/>
              <w:textAlignment w:val="auto"/>
              <w:rPr>
                <w:rFonts w:hint="eastAsia" w:ascii="仿宋" w:hAnsi="仿宋" w:eastAsia="仿宋" w:cs="仿宋"/>
              </w:rPr>
            </w:pPr>
            <w:r>
              <w:rPr>
                <w:rFonts w:hint="eastAsia" w:ascii="仿宋" w:hAnsi="仿宋" w:eastAsia="仿宋" w:cs="仿宋"/>
                <w:sz w:val="32"/>
                <w:szCs w:val="32"/>
                <w:lang w:val="en-US" w:eastAsia="zh-CN"/>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33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jc w:val="center"/>
              <w:textAlignment w:val="auto"/>
              <w:rPr>
                <w:rFonts w:hint="eastAsia" w:ascii="仿宋" w:hAnsi="仿宋" w:eastAsia="仿宋" w:cs="仿宋"/>
              </w:rPr>
            </w:pPr>
            <w:r>
              <w:rPr>
                <w:rFonts w:hint="eastAsia" w:ascii="仿宋" w:hAnsi="仿宋" w:eastAsia="仿宋" w:cs="仿宋"/>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预算单位</w:t>
            </w:r>
          </w:p>
        </w:tc>
        <w:tc>
          <w:tcPr>
            <w:tcW w:w="700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哈密市伊州区农业农村局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项目名称</w:t>
            </w:r>
          </w:p>
        </w:tc>
        <w:tc>
          <w:tcPr>
            <w:tcW w:w="33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2024年第二轮土地承包到期后再延长30年试点工作经费</w:t>
            </w:r>
          </w:p>
        </w:tc>
        <w:tc>
          <w:tcPr>
            <w:tcW w:w="15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项目负责人</w:t>
            </w:r>
          </w:p>
        </w:tc>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王雪娇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项目资金（万元）</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年度预算总额：</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15</w:t>
            </w:r>
          </w:p>
        </w:tc>
        <w:tc>
          <w:tcPr>
            <w:tcW w:w="104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其中：财政拨款</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15</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其他资金：</w:t>
            </w:r>
          </w:p>
        </w:tc>
        <w:tc>
          <w:tcPr>
            <w:tcW w:w="20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项目总体目标</w:t>
            </w:r>
          </w:p>
        </w:tc>
        <w:tc>
          <w:tcPr>
            <w:tcW w:w="7003"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为哈密市伊州区花园乡艾里克村作为此次第二轮土地承包到期后再延长30年试点村，健全人力、物力保障和风险防控机制，为试点村运行做好保障。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7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一级指标</w:t>
            </w:r>
          </w:p>
        </w:tc>
        <w:tc>
          <w:tcPr>
            <w:tcW w:w="7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二级指标</w:t>
            </w:r>
          </w:p>
        </w:tc>
        <w:tc>
          <w:tcPr>
            <w:tcW w:w="14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三级指标</w:t>
            </w:r>
          </w:p>
        </w:tc>
        <w:tc>
          <w:tcPr>
            <w:tcW w:w="82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指标值</w:t>
            </w:r>
          </w:p>
        </w:tc>
        <w:tc>
          <w:tcPr>
            <w:tcW w:w="104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指标值设置依据</w:t>
            </w:r>
          </w:p>
        </w:tc>
        <w:tc>
          <w:tcPr>
            <w:tcW w:w="67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上年完成值</w:t>
            </w:r>
          </w:p>
        </w:tc>
        <w:tc>
          <w:tcPr>
            <w:tcW w:w="9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指标分值权重</w:t>
            </w:r>
          </w:p>
        </w:tc>
        <w:tc>
          <w:tcPr>
            <w:tcW w:w="9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指标赋分规则</w:t>
            </w:r>
          </w:p>
        </w:tc>
        <w:tc>
          <w:tcPr>
            <w:tcW w:w="109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产出指标</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数量指标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试点村数量</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=1个</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试点村民小组数量</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=3个</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质量指标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资金保障到位率</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时效指标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资金保障及时率</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7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成本指标</w:t>
            </w: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经济成本指标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为试点村提供资金保障金额</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&lt;=15万元</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预算支出标准</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7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社会成本指标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7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生态环境成本指标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7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效益指标</w:t>
            </w: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经济效益指标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7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社会效益指标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保障土地延包工作正常开展</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保障</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计划标准</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20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按评判等级赋分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7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生态效益指标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满意度指标</w:t>
            </w:r>
          </w:p>
        </w:tc>
        <w:tc>
          <w:tcPr>
            <w:tcW w:w="7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满意度指标</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延包村组满意度</w:t>
            </w:r>
          </w:p>
        </w:tc>
        <w:tc>
          <w:tcPr>
            <w:tcW w:w="8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&gt;=90%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满意度赋分</w:t>
            </w:r>
          </w:p>
        </w:tc>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w:t>
            </w:r>
          </w:p>
        </w:tc>
      </w:tr>
    </w:tbl>
    <w:p/>
    <w:p/>
    <w:p/>
    <w:p>
      <w:pPr>
        <w:rPr>
          <w:rFonts w:hint="eastAsia"/>
          <w:lang w:val="en-US" w:eastAsia="zh-CN"/>
        </w:rPr>
      </w:pPr>
    </w:p>
    <w:tbl>
      <w:tblPr>
        <w:tblStyle w:val="3"/>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37"/>
        <w:gridCol w:w="734"/>
        <w:gridCol w:w="1825"/>
        <w:gridCol w:w="725"/>
        <w:gridCol w:w="954"/>
        <w:gridCol w:w="637"/>
        <w:gridCol w:w="857"/>
        <w:gridCol w:w="928"/>
        <w:gridCol w:w="10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833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jc w:val="center"/>
              <w:textAlignment w:val="auto"/>
              <w:rPr>
                <w:rFonts w:hint="eastAsia" w:ascii="仿宋" w:hAnsi="仿宋" w:eastAsia="仿宋" w:cs="仿宋"/>
              </w:rPr>
            </w:pPr>
            <w:r>
              <w:rPr>
                <w:rFonts w:hint="eastAsia" w:ascii="仿宋" w:hAnsi="仿宋" w:eastAsia="仿宋" w:cs="仿宋"/>
                <w:sz w:val="32"/>
                <w:szCs w:val="32"/>
                <w:lang w:val="en-US" w:eastAsia="zh-CN"/>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33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jc w:val="center"/>
              <w:textAlignment w:val="auto"/>
              <w:rPr>
                <w:rFonts w:hint="eastAsia" w:ascii="仿宋" w:hAnsi="仿宋" w:eastAsia="仿宋" w:cs="仿宋"/>
              </w:rPr>
            </w:pPr>
            <w:r>
              <w:rPr>
                <w:rFonts w:hint="eastAsia" w:ascii="仿宋" w:hAnsi="仿宋" w:eastAsia="仿宋" w:cs="仿宋"/>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预算单位</w:t>
            </w:r>
          </w:p>
        </w:tc>
        <w:tc>
          <w:tcPr>
            <w:tcW w:w="696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哈密市伊州区农业农村局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项目名称</w:t>
            </w:r>
          </w:p>
        </w:tc>
        <w:tc>
          <w:tcPr>
            <w:tcW w:w="35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2024年农村土地承包纠纷仲裁工作经费</w:t>
            </w:r>
          </w:p>
        </w:tc>
        <w:tc>
          <w:tcPr>
            <w:tcW w:w="14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项目负责人</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王雪娇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项目资金（万元）</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年度预算总额：</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w:t>
            </w:r>
          </w:p>
        </w:tc>
        <w:tc>
          <w:tcPr>
            <w:tcW w:w="95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其中：财政拨款</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其他资金：</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项目总体目标</w:t>
            </w:r>
          </w:p>
        </w:tc>
        <w:tc>
          <w:tcPr>
            <w:tcW w:w="6965"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通过做好农村土地承包纠纷仲裁工作，保证2024年伊州区农村土地承包经营纠纷仲裁工作规范运行。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6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一级指标</w:t>
            </w:r>
          </w:p>
        </w:tc>
        <w:tc>
          <w:tcPr>
            <w:tcW w:w="73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二级指标</w:t>
            </w:r>
          </w:p>
        </w:tc>
        <w:tc>
          <w:tcPr>
            <w:tcW w:w="18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三级指标</w:t>
            </w:r>
          </w:p>
        </w:tc>
        <w:tc>
          <w:tcPr>
            <w:tcW w:w="7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指标值</w:t>
            </w:r>
          </w:p>
        </w:tc>
        <w:tc>
          <w:tcPr>
            <w:tcW w:w="95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指标值设置依据</w:t>
            </w:r>
          </w:p>
        </w:tc>
        <w:tc>
          <w:tcPr>
            <w:tcW w:w="63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上年完成值</w:t>
            </w:r>
          </w:p>
        </w:tc>
        <w:tc>
          <w:tcPr>
            <w:tcW w:w="85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指标分值权重</w:t>
            </w:r>
          </w:p>
        </w:tc>
        <w:tc>
          <w:tcPr>
            <w:tcW w:w="92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指标赋分规则</w:t>
            </w:r>
          </w:p>
        </w:tc>
        <w:tc>
          <w:tcPr>
            <w:tcW w:w="103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4" w:hRule="atLeast"/>
        </w:trPr>
        <w:tc>
          <w:tcPr>
            <w:tcW w:w="6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产出指标</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数量指标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农村土地承包经营纠纷调解件数</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&gt;=10件</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4"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质量指标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农村土地承包经营纠纷调解解决率</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=100%</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20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4" w:hRule="atLeast"/>
        </w:trPr>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时效指标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农村土地承包经营纠纷调节工作时间</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=1年</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4" w:hRule="atLeast"/>
        </w:trPr>
        <w:tc>
          <w:tcPr>
            <w:tcW w:w="63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成本指标</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经济成本指标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农村土地承包经营纠纷仲裁经费</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&lt;=1万元</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预算支出标准</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20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63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社会成本指标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63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生态环境成本指标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63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效益指标</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经济效益指标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63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社会效益指标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妥善化解农村土地承包纠纷</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有效化解</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计划标准</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20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按评判等级赋分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63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生态效益指标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满意度指标</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满意度指标</w:t>
            </w:r>
          </w:p>
        </w:tc>
        <w:tc>
          <w:tcPr>
            <w:tcW w:w="1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调解对象满意度</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&gt;=90%</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57"/>
        <w:gridCol w:w="701"/>
        <w:gridCol w:w="1365"/>
        <w:gridCol w:w="1066"/>
        <w:gridCol w:w="967"/>
        <w:gridCol w:w="853"/>
        <w:gridCol w:w="875"/>
        <w:gridCol w:w="917"/>
        <w:gridCol w:w="1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833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jc w:val="center"/>
              <w:textAlignment w:val="auto"/>
              <w:rPr>
                <w:rFonts w:hint="eastAsia" w:ascii="仿宋" w:hAnsi="仿宋" w:eastAsia="仿宋" w:cs="仿宋"/>
              </w:rPr>
            </w:pPr>
            <w:r>
              <w:rPr>
                <w:rFonts w:hint="eastAsia" w:ascii="仿宋" w:hAnsi="仿宋" w:eastAsia="仿宋" w:cs="仿宋"/>
                <w:sz w:val="32"/>
                <w:szCs w:val="32"/>
                <w:lang w:val="en-US" w:eastAsia="zh-CN"/>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33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jc w:val="center"/>
              <w:textAlignment w:val="auto"/>
              <w:rPr>
                <w:rFonts w:hint="eastAsia" w:ascii="仿宋" w:hAnsi="仿宋" w:eastAsia="仿宋" w:cs="仿宋"/>
              </w:rPr>
            </w:pPr>
            <w:r>
              <w:rPr>
                <w:rFonts w:hint="eastAsia" w:ascii="仿宋" w:hAnsi="仿宋" w:eastAsia="仿宋" w:cs="仿宋"/>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2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预算单位</w:t>
            </w:r>
          </w:p>
        </w:tc>
        <w:tc>
          <w:tcPr>
            <w:tcW w:w="707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哈密市伊州区农业农村局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2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项目名称</w:t>
            </w:r>
          </w:p>
        </w:tc>
        <w:tc>
          <w:tcPr>
            <w:tcW w:w="339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2024年脱贫人口小额信贷贷款贴息资金</w:t>
            </w:r>
          </w:p>
        </w:tc>
        <w:tc>
          <w:tcPr>
            <w:tcW w:w="17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项目负责人</w:t>
            </w:r>
          </w:p>
        </w:tc>
        <w:tc>
          <w:tcPr>
            <w:tcW w:w="19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王雪娇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2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项目资金（万元）</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年度预算总额：</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33.2</w:t>
            </w:r>
          </w:p>
        </w:tc>
        <w:tc>
          <w:tcPr>
            <w:tcW w:w="96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其中：财政拨款</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33.20</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其他资金：</w:t>
            </w:r>
          </w:p>
        </w:tc>
        <w:tc>
          <w:tcPr>
            <w:tcW w:w="19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2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项目总体目标</w:t>
            </w:r>
          </w:p>
        </w:tc>
        <w:tc>
          <w:tcPr>
            <w:tcW w:w="7078"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通过为建档立卡脱贫人员，以户为单位发放贷款，让建档立卡脱贫人员用于发展产业、增加收入，让越来越多的群众切实享受到金融扶贫的效果。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5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一级指标</w:t>
            </w:r>
          </w:p>
        </w:tc>
        <w:tc>
          <w:tcPr>
            <w:tcW w:w="7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二级指标</w:t>
            </w:r>
          </w:p>
        </w:tc>
        <w:tc>
          <w:tcPr>
            <w:tcW w:w="13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三级指标</w:t>
            </w:r>
          </w:p>
        </w:tc>
        <w:tc>
          <w:tcPr>
            <w:tcW w:w="10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指标值</w:t>
            </w:r>
          </w:p>
        </w:tc>
        <w:tc>
          <w:tcPr>
            <w:tcW w:w="96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指标值设置依据</w:t>
            </w:r>
          </w:p>
        </w:tc>
        <w:tc>
          <w:tcPr>
            <w:tcW w:w="85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上年完成值</w:t>
            </w:r>
          </w:p>
        </w:tc>
        <w:tc>
          <w:tcPr>
            <w:tcW w:w="8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指标分值权重</w:t>
            </w:r>
          </w:p>
        </w:tc>
        <w:tc>
          <w:tcPr>
            <w:tcW w:w="9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指标赋分规则</w:t>
            </w:r>
          </w:p>
        </w:tc>
        <w:tc>
          <w:tcPr>
            <w:tcW w:w="10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产出指标</w:t>
            </w: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数量指标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贷款贴息笔数</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&gt;=400笔</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质量指标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贷款贴息资金发放到户率</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=100%</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时效指标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贷款贴息资金发放及时率</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=100%</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贷款贴息持续时间</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=1年</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5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成本指标</w:t>
            </w: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经济成本指标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贷款贴息资金金额</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&lt;=33.20万元</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预算支出标准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20</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按照正常比例赋分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5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社会成本指标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5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生态环境成本指标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5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效益指标</w:t>
            </w: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经济效益指标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55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社会效益指标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减轻贷款贴息人员经济负担</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减轻</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20</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按评判等级赋分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5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生态效益指标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lang w:val="en-US" w:eastAsia="zh-CN"/>
              </w:rPr>
            </w:pPr>
            <w:r>
              <w:rPr>
                <w:rFonts w:hint="eastAsia" w:ascii="仿宋" w:hAnsi="仿宋" w:eastAsia="仿宋" w:cs="仿宋"/>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满意度指标</w:t>
            </w: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满意度指标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贷款贴息人员满意度</w:t>
            </w:r>
          </w:p>
        </w:tc>
        <w:tc>
          <w:tcPr>
            <w:tcW w:w="1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&gt;=90%</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10</w:t>
            </w:r>
          </w:p>
        </w:tc>
        <w:tc>
          <w:tcPr>
            <w:tcW w:w="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满意度赋分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after="0" w:line="220" w:lineRule="atLeast"/>
              <w:textAlignment w:val="auto"/>
              <w:rPr>
                <w:rFonts w:hint="eastAsia" w:ascii="仿宋" w:hAnsi="仿宋" w:eastAsia="仿宋" w:cs="仿宋"/>
              </w:rPr>
            </w:pPr>
            <w:r>
              <w:rPr>
                <w:rFonts w:hint="eastAsia" w:ascii="仿宋" w:hAnsi="仿宋" w:eastAsia="仿宋" w:cs="仿宋"/>
                <w:lang w:val="en-US" w:eastAsia="zh-CN"/>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r>
        <w:object>
          <v:shape id="_x0000_i1026" o:spt="75" type="#_x0000_t75" style="height:391.2pt;width:425.2pt;" o:ole="t" filled="f" o:preferrelative="t" stroked="f" coordsize="21600,21600">
            <v:path/>
            <v:fill on="f" focussize="0,0"/>
            <v:stroke on="f"/>
            <v:imagedata r:id="rId9" o:title=""/>
            <o:lock v:ext="edit" aspectratio="f"/>
            <w10:wrap type="none"/>
            <w10:anchorlock/>
          </v:shape>
          <o:OLEObject Type="Embed" ProgID="Office12.Excel.Template" ShapeID="_x0000_i1026" DrawAspect="Content" ObjectID="_1468075726" r:id="rId8">
            <o:LockedField>false</o:LockedField>
          </o:OLEObject>
        </w:object>
      </w: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r>
        <w:object>
          <v:shape id="_x0000_i1027" o:spt="75" type="#_x0000_t75" style="height:391.2pt;width:428.05pt;" o:ole="t" filled="f" o:preferrelative="t" stroked="f" coordsize="21600,21600">
            <v:path/>
            <v:fill on="f" focussize="0,0"/>
            <v:stroke on="f"/>
            <v:imagedata r:id="rId11" o:title=""/>
            <o:lock v:ext="edit" aspectratio="f"/>
            <w10:wrap type="none"/>
            <w10:anchorlock/>
          </v:shape>
          <o:OLEObject Type="Embed" ProgID="Office12.Excel.Template" ShapeID="_x0000_i1027" DrawAspect="Content" ObjectID="_1468075727" r:id="rId10">
            <o:LockedField>false</o:LockedField>
          </o:OLEObject>
        </w:object>
      </w:r>
    </w:p>
    <w:p/>
    <w:p/>
    <w:p/>
    <w:p/>
    <w:p/>
    <w:p/>
    <w:p/>
    <w:p/>
    <w:p/>
    <w:p/>
    <w:p/>
    <w:p/>
    <w:p/>
    <w:p/>
    <w:p/>
    <w:p/>
    <w:p/>
    <w:p/>
    <w:p>
      <w:r>
        <w:object>
          <v:shape id="_x0000_i1028" o:spt="75" type="#_x0000_t75" style="height:462.05pt;width:419.55pt;" o:ole="t" filled="f" o:preferrelative="t" stroked="f" coordsize="21600,21600">
            <v:path/>
            <v:fill on="f" focussize="0,0"/>
            <v:stroke on="f"/>
            <v:imagedata r:id="rId13" o:title=""/>
            <o:lock v:ext="edit" aspectratio="f"/>
            <w10:wrap type="none"/>
            <w10:anchorlock/>
          </v:shape>
          <o:OLEObject Type="Embed" ProgID="Office12.Excel.Template" ShapeID="_x0000_i1028" DrawAspect="Content" ObjectID="_1468075728" r:id="rId12">
            <o:LockedField>false</o:LockedField>
          </o:OLEObject>
        </w:object>
      </w:r>
    </w:p>
    <w:p/>
    <w:p/>
    <w:p>
      <w:pPr>
        <w:rPr>
          <w:rFonts w:hint="eastAsia"/>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6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21"/>
        <w:gridCol w:w="732"/>
        <w:gridCol w:w="1050"/>
        <w:gridCol w:w="810"/>
        <w:gridCol w:w="692"/>
        <w:gridCol w:w="821"/>
        <w:gridCol w:w="821"/>
        <w:gridCol w:w="1026"/>
        <w:gridCol w:w="18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3" w:hRule="atLeast"/>
        </w:trPr>
        <w:tc>
          <w:tcPr>
            <w:tcW w:w="8603"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603"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05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哈密市伊州区农业农村局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5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伊州区农田废旧地膜污染治理及加厚地膜推广项目</w:t>
            </w:r>
          </w:p>
        </w:tc>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贺军勇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1470</w:t>
            </w:r>
          </w:p>
        </w:tc>
        <w:tc>
          <w:tcPr>
            <w:tcW w:w="692"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1470</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15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05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向乡镇发放补贴，组织废旧地膜回收利用，使用0.015mm加厚地膜并开展宣传培训、源头管控、加强执法监管、示范带动、能力建设、技术推广、政策配套等工作，遏制增量、减少存量，全区农田当季地膜回收率达到85％以上，力争实现废旧农田地膜全面回收利用，加大推广使用加厚高强度地膜，农田“白色污染”得到有效防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73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69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2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83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补助乡镇个数</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&gt;=9个</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全面推广加厚高强度地膜面积</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&gt;=36万亩</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落实全区废旧地膜回收率</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&gt;=85%</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废旧地膜回收任务年度完工及时率</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使用加厚地膜的任务完工及时率</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使用高强度农膜补贴发放标准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=30元/亩</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预算支出标准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提高地膜回收利用水平</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显著提高</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提高残膜回收率</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农户满意度</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8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tbl>
      <w:tblPr>
        <w:tblStyle w:val="3"/>
        <w:tblW w:w="9030" w:type="dxa"/>
        <w:tblInd w:w="-3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20"/>
        <w:gridCol w:w="820"/>
        <w:gridCol w:w="1165"/>
        <w:gridCol w:w="585"/>
        <w:gridCol w:w="720"/>
        <w:gridCol w:w="821"/>
        <w:gridCol w:w="820"/>
        <w:gridCol w:w="1464"/>
        <w:gridCol w:w="1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903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03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3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哈密市伊州区农业农村局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47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特定类-2023年耕地地力保护补贴（地方）</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2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黄登迎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274.24</w:t>
            </w:r>
          </w:p>
        </w:tc>
        <w:tc>
          <w:tcPr>
            <w:tcW w:w="72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274.24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2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39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通过发放耕地地力补贴，为全面推动农业产业结构调整和农业产业化发展，实现伊州区粮食产业提质增效，提高粮食作物综合收益和产品质量，确保粮食作物在乡村振兴和粮食安全战略中发挥重要作用。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2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16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58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72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2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46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8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粮食作物补贴面积</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&gt;=5万亩</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粮食作物补贴资金兑付准确率</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粮食作物补贴资金发放及时率</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发放粮食作物补贴资金</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&lt;=274.24万元</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预算支出标准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农户积极性</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有所提高</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受益农户数增长率</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农户满意度（%）</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21"/>
        <w:gridCol w:w="821"/>
        <w:gridCol w:w="966"/>
        <w:gridCol w:w="676"/>
        <w:gridCol w:w="944"/>
        <w:gridCol w:w="698"/>
        <w:gridCol w:w="821"/>
        <w:gridCol w:w="1136"/>
        <w:gridCol w:w="14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833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33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9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哈密市伊州区农业农村局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特定类-2023年伊州区油料作物补贴</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黄登迎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39.48</w:t>
            </w:r>
          </w:p>
        </w:tc>
        <w:tc>
          <w:tcPr>
            <w:tcW w:w="94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39.48</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64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94"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通过发放油料作物种植补贴，全面推动农业产业结构调整和农业产业化发展，实现伊州区油料产业提质增效，提高油料作物综合收益和产品质量，确保油料作物在乡村振兴和粮食安全战略中发挥重要作用。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4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9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2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3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45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油料作物补贴面积</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&gt;=0.60万亩</w:t>
            </w: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油料补贴资金兑付准确率</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油料作物补贴资金发放及时率</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发放油料作物补贴资金</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&lt;=39.48万元</w:t>
            </w: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预算支出标准</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油料作物生产能力</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较往年有所提升</w:t>
            </w: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受益农民数量增长率</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w:t>
            </w: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受益农民满意度（%）</w:t>
            </w:r>
          </w:p>
        </w:tc>
        <w:tc>
          <w:tcPr>
            <w:tcW w:w="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w:t>
            </w:r>
          </w:p>
        </w:tc>
        <w:tc>
          <w:tcPr>
            <w:tcW w:w="9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4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790" w:type="dxa"/>
        <w:tblInd w:w="-1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15"/>
        <w:gridCol w:w="866"/>
        <w:gridCol w:w="1084"/>
        <w:gridCol w:w="657"/>
        <w:gridCol w:w="118"/>
        <w:gridCol w:w="693"/>
        <w:gridCol w:w="817"/>
        <w:gridCol w:w="655"/>
        <w:gridCol w:w="963"/>
        <w:gridCol w:w="20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879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790"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00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哈密市伊州区农业农村局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55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特定类-2024年政策性农业保险保费</w:t>
            </w:r>
          </w:p>
        </w:tc>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郝洋子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1723.05</w:t>
            </w:r>
          </w:p>
        </w:tc>
        <w:tc>
          <w:tcPr>
            <w:tcW w:w="693"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1723.05</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9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7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009" w:type="dxa"/>
            <w:gridSpan w:val="8"/>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通过向农户发放农业保险保费补贴，引导和支持农户参加农业保险，有效建立市场化的农业生产防范化解机制，提升粮食作物投保面积覆盖率，支持农业生产环节，不断扩大农业保险覆盖面和风险保障水平。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4" w:hRule="atLeast"/>
        </w:trPr>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8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5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11"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1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6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02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种植业补贴类型数量</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&gt;=8类</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养殖业补贴类型数量</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&gt;=3类</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绝对免赔额</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工作资料,正式材料,说明材料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三大粮食作物投保面覆盖率</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&gt;=65%</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育肥猪保险覆盖率</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&gt;=35%</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农业保险保费补贴发放及时率</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农业保险保费补贴费用</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&lt;=1723.05万元</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预算支出标准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风险保障总额</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高于上一年度</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工作资料,正式材料,说明材料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农业保险综合费用率</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工作资料,正式材料,说明材料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经办县级分支机构覆盖率</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工作资料,说明材料,正式材料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投保农户满意度</w:t>
            </w:r>
          </w:p>
        </w:tc>
        <w:tc>
          <w:tcPr>
            <w:tcW w:w="6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uSuan" w:date="2024-06-03T12:31:12Z" w:initials="Y">
    <w:p w14:paraId="1EE279BB">
      <w:pPr>
        <w:pStyle w:val="2"/>
        <w:rPr>
          <w:rFonts w:hint="default" w:eastAsiaTheme="minorEastAsia"/>
          <w:lang w:val="en-US" w:eastAsia="zh-CN"/>
        </w:rPr>
      </w:pPr>
      <w:r>
        <w:rPr>
          <w:rFonts w:hint="eastAsia"/>
          <w:lang w:val="en-US" w:eastAsia="zh-CN"/>
        </w:rPr>
        <w:t>年初项目支出总数</w:t>
      </w:r>
    </w:p>
  </w:comment>
  <w:comment w:id="1" w:author="YuSuan" w:date="2024-06-03T12:31:33Z" w:initials="Y">
    <w:p w14:paraId="1D685398">
      <w:pPr>
        <w:pStyle w:val="2"/>
        <w:rPr>
          <w:rFonts w:hint="default" w:eastAsiaTheme="minorEastAsia"/>
          <w:lang w:val="en-US" w:eastAsia="zh-CN"/>
        </w:rPr>
      </w:pPr>
      <w:r>
        <w:rPr>
          <w:rFonts w:hint="eastAsia"/>
          <w:lang w:val="en-US" w:eastAsia="zh-CN"/>
        </w:rPr>
        <w:t>调整后金额=年初项目支出数+新增项目支出数+调增项目支出数-调减项目支出数</w:t>
      </w:r>
    </w:p>
  </w:comment>
  <w:comment w:id="2" w:author="YuSuan" w:date="2024-05-24T11:42:42Z" w:initials="Y">
    <w:p w14:paraId="19E74AD4">
      <w:pPr>
        <w:pStyle w:val="2"/>
        <w:rPr>
          <w:rFonts w:hint="default" w:eastAsiaTheme="minorEastAsia"/>
          <w:lang w:val="en-US" w:eastAsia="zh-CN"/>
        </w:rPr>
      </w:pPr>
      <w:r>
        <w:rPr>
          <w:rFonts w:hint="eastAsia"/>
          <w:lang w:val="en-US" w:eastAsia="zh-CN"/>
        </w:rPr>
        <w:t>年初项目支出总数</w:t>
      </w:r>
    </w:p>
  </w:comment>
  <w:comment w:id="3" w:author="YuSuan" w:date="2024-05-24T11:42:58Z" w:initials="Y">
    <w:p w14:paraId="11047ED6">
      <w:pPr>
        <w:pStyle w:val="2"/>
        <w:rPr>
          <w:rFonts w:hint="default" w:eastAsiaTheme="minorEastAsia"/>
          <w:lang w:val="en-US" w:eastAsia="zh-CN"/>
        </w:rPr>
      </w:pPr>
      <w:r>
        <w:rPr>
          <w:rFonts w:hint="eastAsia"/>
          <w:lang w:val="en-US" w:eastAsia="zh-CN"/>
        </w:rPr>
        <w:t>调整后项目支出总数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EE279BB" w15:done="0"/>
  <w15:commentEx w15:paraId="1D685398" w15:done="0"/>
  <w15:commentEx w15:paraId="19E74AD4" w15:done="0"/>
  <w15:commentEx w15:paraId="11047E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uan">
    <w15:presenceInfo w15:providerId="None" w15:userId="YuS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4721D"/>
    <w:rsid w:val="05274B53"/>
    <w:rsid w:val="0A8A3F4F"/>
    <w:rsid w:val="0E235C38"/>
    <w:rsid w:val="10573940"/>
    <w:rsid w:val="1E8C3A51"/>
    <w:rsid w:val="1EB06006"/>
    <w:rsid w:val="1F945345"/>
    <w:rsid w:val="209A648E"/>
    <w:rsid w:val="22AA5687"/>
    <w:rsid w:val="22E65A86"/>
    <w:rsid w:val="24C538F5"/>
    <w:rsid w:val="2C5975BC"/>
    <w:rsid w:val="3F2A1D89"/>
    <w:rsid w:val="43EB39D1"/>
    <w:rsid w:val="44B94F88"/>
    <w:rsid w:val="49525A28"/>
    <w:rsid w:val="4BC97360"/>
    <w:rsid w:val="4E613D02"/>
    <w:rsid w:val="4F016E86"/>
    <w:rsid w:val="50945CA8"/>
    <w:rsid w:val="656252AA"/>
    <w:rsid w:val="7340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2024-07-12T02:13:49Z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