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200"/>
        <w:rPr>
          <w:rFonts w:hint="eastAsia" w:ascii="仿宋_GB2312" w:hAnsi="仿宋_GB2312" w:eastAsia="仿宋_GB2312" w:cs="仿宋_GB2312"/>
          <w:spacing w:val="5"/>
          <w:sz w:val="32"/>
          <w:szCs w:val="32"/>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cs="方正小标宋_GBK"/>
          <w:kern w:val="0"/>
          <w:sz w:val="44"/>
          <w:szCs w:val="44"/>
          <w:lang w:val="en-US" w:eastAsia="zh-CN"/>
        </w:rPr>
        <w:t>关于</w:t>
      </w:r>
      <w:bookmarkStart w:id="0" w:name="_GoBack"/>
      <w:r>
        <w:rPr>
          <w:rFonts w:hint="eastAsia" w:ascii="方正小标宋_GBK" w:hAnsi="宋体" w:eastAsia="方正小标宋_GBK" w:cs="方正小标宋_GBK"/>
          <w:kern w:val="0"/>
          <w:sz w:val="44"/>
          <w:szCs w:val="44"/>
        </w:rPr>
        <w:t>哈密市伊州区交通运输局</w:t>
      </w:r>
      <w:r>
        <w:rPr>
          <w:rFonts w:hint="eastAsia" w:ascii="方正小标宋_GBK" w:hAnsi="宋体" w:eastAsia="方正小标宋_GBK"/>
          <w:kern w:val="0"/>
          <w:sz w:val="44"/>
          <w:szCs w:val="44"/>
        </w:rPr>
        <w:t>202</w:t>
      </w:r>
      <w:r>
        <w:rPr>
          <w:rFonts w:hint="eastAsia" w:ascii="方正小标宋_GBK" w:hAnsi="宋体" w:eastAsia="方正小标宋_GBK"/>
          <w:kern w:val="0"/>
          <w:sz w:val="44"/>
          <w:szCs w:val="44"/>
          <w:lang w:val="en-US" w:eastAsia="zh-CN"/>
        </w:rPr>
        <w:t>4</w:t>
      </w:r>
      <w:r>
        <w:rPr>
          <w:rFonts w:hint="eastAsia" w:ascii="方正小标宋_GBK" w:hAnsi="宋体" w:eastAsia="方正小标宋_GBK"/>
          <w:kern w:val="0"/>
          <w:sz w:val="44"/>
          <w:szCs w:val="44"/>
        </w:rPr>
        <w:t>年部门</w:t>
      </w:r>
    </w:p>
    <w:p>
      <w:pPr>
        <w:widowControl/>
        <w:spacing w:before="100" w:beforeAutospacing="1" w:after="100" w:afterAutospacing="1"/>
        <w:jc w:val="center"/>
        <w:outlineLvl w:val="1"/>
        <w:rPr>
          <w:rFonts w:hint="default" w:ascii="宋体" w:eastAsia="方正小标宋_GBK"/>
          <w:b/>
          <w:bCs/>
          <w:kern w:val="0"/>
          <w:sz w:val="44"/>
          <w:szCs w:val="44"/>
          <w:lang w:val="en-US" w:eastAsia="zh-CN"/>
        </w:rPr>
      </w:pPr>
      <w:r>
        <w:rPr>
          <w:rFonts w:hint="eastAsia" w:ascii="方正小标宋_GBK" w:hAnsi="宋体" w:eastAsia="方正小标宋_GBK"/>
          <w:kern w:val="0"/>
          <w:sz w:val="44"/>
          <w:szCs w:val="44"/>
          <w:lang w:val="en-US" w:eastAsia="zh-CN"/>
        </w:rPr>
        <w:t>调整</w:t>
      </w:r>
      <w:r>
        <w:rPr>
          <w:rFonts w:hint="eastAsia" w:ascii="方正小标宋_GBK" w:hAnsi="宋体" w:eastAsia="方正小标宋_GBK"/>
          <w:kern w:val="0"/>
          <w:sz w:val="44"/>
          <w:szCs w:val="44"/>
        </w:rPr>
        <w:t>预算公开</w:t>
      </w:r>
      <w:bookmarkEnd w:id="0"/>
      <w:r>
        <w:rPr>
          <w:rFonts w:hint="eastAsia" w:ascii="方正小标宋_GBK" w:hAnsi="宋体" w:eastAsia="方正小标宋_GBK"/>
          <w:kern w:val="0"/>
          <w:sz w:val="44"/>
          <w:szCs w:val="44"/>
          <w:lang w:val="en-US" w:eastAsia="zh-CN"/>
        </w:rPr>
        <w:t>的说明</w:t>
      </w:r>
    </w:p>
    <w:p>
      <w:pPr>
        <w:ind w:firstLine="660" w:firstLineChars="200"/>
        <w:rPr>
          <w:rFonts w:hint="eastAsia" w:ascii="仿宋_GB2312" w:hAnsi="仿宋_GB2312" w:eastAsia="仿宋_GB2312" w:cs="仿宋_GB2312"/>
          <w:spacing w:val="5"/>
          <w:sz w:val="32"/>
          <w:szCs w:val="32"/>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63" w:firstLineChars="200"/>
        <w:textAlignment w:val="auto"/>
        <w:rPr>
          <w:rFonts w:hint="eastAsia" w:ascii="仿宋_GB2312" w:hAnsi="仿宋_GB2312" w:eastAsia="仿宋_GB2312" w:cs="仿宋_GB2312"/>
          <w:b/>
          <w:bCs/>
          <w:spacing w:val="5"/>
          <w:sz w:val="32"/>
          <w:szCs w:val="32"/>
          <w:lang w:val="en-US" w:eastAsia="zh-CN"/>
        </w:rPr>
      </w:pPr>
      <w:r>
        <w:rPr>
          <w:rFonts w:hint="eastAsia" w:ascii="仿宋_GB2312" w:hAnsi="仿宋_GB2312" w:eastAsia="仿宋_GB2312" w:cs="仿宋_GB2312"/>
          <w:b/>
          <w:bCs/>
          <w:spacing w:val="5"/>
          <w:sz w:val="32"/>
          <w:szCs w:val="32"/>
          <w:lang w:val="en-US" w:eastAsia="zh-CN"/>
        </w:rPr>
        <w:t>预算调整情况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60" w:firstLineChars="200"/>
        <w:textAlignment w:val="auto"/>
        <w:rPr>
          <w:rFonts w:hint="eastAsia" w:ascii="仿宋_GB2312" w:hAnsi="仿宋_GB2312" w:eastAsia="仿宋_GB2312" w:cs="仿宋_GB2312"/>
          <w:color w:val="auto"/>
          <w:spacing w:val="18"/>
          <w:sz w:val="32"/>
          <w:szCs w:val="32"/>
          <w:lang w:eastAsia="zh-CN"/>
        </w:rPr>
      </w:pPr>
      <w:r>
        <w:rPr>
          <w:rFonts w:hint="eastAsia" w:ascii="仿宋_GB2312" w:hAnsi="仿宋_GB2312" w:eastAsia="仿宋_GB2312" w:cs="仿宋_GB2312"/>
          <w:spacing w:val="5"/>
          <w:sz w:val="32"/>
          <w:szCs w:val="32"/>
        </w:rPr>
        <w:t>根据《</w:t>
      </w:r>
      <w:r>
        <w:rPr>
          <w:rFonts w:hint="eastAsia" w:ascii="仿宋_GB2312" w:hAnsi="仿宋_GB2312" w:eastAsia="仿宋_GB2312" w:cs="仿宋_GB2312"/>
          <w:spacing w:val="5"/>
          <w:sz w:val="32"/>
          <w:szCs w:val="32"/>
          <w:lang w:val="en-US" w:eastAsia="zh-CN"/>
        </w:rPr>
        <w:t>中华人民共和国</w:t>
      </w:r>
      <w:r>
        <w:rPr>
          <w:rFonts w:hint="eastAsia" w:ascii="仿宋_GB2312" w:hAnsi="仿宋_GB2312" w:eastAsia="仿宋_GB2312" w:cs="仿宋_GB2312"/>
          <w:spacing w:val="5"/>
          <w:sz w:val="32"/>
          <w:szCs w:val="32"/>
        </w:rPr>
        <w:t>预算</w:t>
      </w:r>
      <w:r>
        <w:rPr>
          <w:rFonts w:hint="eastAsia" w:ascii="仿宋_GB2312" w:hAnsi="仿宋_GB2312" w:eastAsia="仿宋_GB2312" w:cs="仿宋_GB2312"/>
          <w:spacing w:val="-3"/>
          <w:sz w:val="32"/>
          <w:szCs w:val="32"/>
        </w:rPr>
        <w:t>法》、《预算法实施条例》</w:t>
      </w:r>
      <w:r>
        <w:rPr>
          <w:rFonts w:hint="eastAsia" w:ascii="仿宋_GB2312" w:hAnsi="仿宋_GB2312" w:eastAsia="仿宋_GB2312" w:cs="仿宋_GB2312"/>
          <w:spacing w:val="-3"/>
          <w:sz w:val="32"/>
          <w:szCs w:val="32"/>
          <w:lang w:eastAsia="zh-CN"/>
        </w:rPr>
        <w:t>，</w:t>
      </w:r>
      <w:r>
        <w:rPr>
          <w:rFonts w:hint="eastAsia" w:ascii="仿宋_GB2312" w:hAnsi="仿宋_GB2312" w:eastAsia="仿宋_GB2312" w:cs="仿宋_GB2312"/>
          <w:spacing w:val="-3"/>
          <w:sz w:val="32"/>
          <w:szCs w:val="32"/>
          <w:lang w:val="en-US" w:eastAsia="zh-CN"/>
        </w:rPr>
        <w:t>经伊州区二届人大常委会第二十二次会议批准</w:t>
      </w:r>
      <w:r>
        <w:rPr>
          <w:rFonts w:hint="eastAsia" w:ascii="仿宋_GB2312" w:hAnsi="仿宋_GB2312" w:eastAsia="仿宋_GB2312" w:cs="仿宋_GB2312"/>
          <w:spacing w:val="-3"/>
          <w:sz w:val="32"/>
          <w:szCs w:val="32"/>
        </w:rPr>
        <w:t>，202</w:t>
      </w:r>
      <w:r>
        <w:rPr>
          <w:rFonts w:hint="eastAsia" w:ascii="仿宋_GB2312" w:hAnsi="仿宋_GB2312" w:eastAsia="仿宋_GB2312" w:cs="仿宋_GB2312"/>
          <w:spacing w:val="-3"/>
          <w:sz w:val="32"/>
          <w:szCs w:val="32"/>
          <w:lang w:val="en-US" w:eastAsia="zh-CN"/>
        </w:rPr>
        <w:t>4</w:t>
      </w:r>
      <w:r>
        <w:rPr>
          <w:rFonts w:hint="eastAsia" w:ascii="仿宋_GB2312" w:hAnsi="仿宋_GB2312" w:eastAsia="仿宋_GB2312" w:cs="仿宋_GB2312"/>
          <w:spacing w:val="18"/>
          <w:sz w:val="32"/>
          <w:szCs w:val="32"/>
        </w:rPr>
        <w:t>年</w:t>
      </w:r>
      <w:r>
        <w:rPr>
          <w:rFonts w:hint="eastAsia" w:ascii="仿宋_GB2312" w:hAnsi="仿宋_GB2312" w:eastAsia="仿宋_GB2312" w:cs="仿宋_GB2312"/>
          <w:spacing w:val="18"/>
          <w:sz w:val="32"/>
          <w:szCs w:val="32"/>
          <w:lang w:val="en-US" w:eastAsia="zh-CN"/>
        </w:rPr>
        <w:t>我单位</w:t>
      </w:r>
      <w:commentRangeStart w:id="0"/>
      <w:r>
        <w:rPr>
          <w:rFonts w:hint="eastAsia" w:ascii="仿宋_GB2312" w:hAnsi="仿宋_GB2312" w:eastAsia="仿宋_GB2312" w:cs="仿宋_GB2312"/>
          <w:color w:val="auto"/>
          <w:spacing w:val="18"/>
          <w:sz w:val="32"/>
          <w:szCs w:val="32"/>
          <w:highlight w:val="none"/>
          <w:lang w:val="en-US" w:eastAsia="zh-CN"/>
        </w:rPr>
        <w:t>项目支出由年初2906.85万元</w:t>
      </w:r>
      <w:commentRangeEnd w:id="0"/>
      <w:r>
        <w:rPr>
          <w:color w:val="auto"/>
        </w:rPr>
        <w:commentReference w:id="0"/>
      </w:r>
      <w:commentRangeStart w:id="1"/>
      <w:r>
        <w:rPr>
          <w:rFonts w:hint="eastAsia" w:ascii="仿宋_GB2312" w:hAnsi="仿宋_GB2312" w:eastAsia="仿宋_GB2312" w:cs="仿宋_GB2312"/>
          <w:color w:val="auto"/>
          <w:spacing w:val="18"/>
          <w:sz w:val="32"/>
          <w:szCs w:val="32"/>
          <w:highlight w:val="none"/>
          <w:lang w:val="en-US" w:eastAsia="zh-CN"/>
        </w:rPr>
        <w:t>调整为3146.85万元</w:t>
      </w:r>
      <w:commentRangeEnd w:id="1"/>
      <w:r>
        <w:rPr>
          <w:color w:val="auto"/>
        </w:rPr>
        <w:commentReference w:id="1"/>
      </w:r>
      <w:r>
        <w:rPr>
          <w:rFonts w:hint="eastAsia" w:ascii="仿宋_GB2312" w:hAnsi="仿宋_GB2312" w:eastAsia="仿宋_GB2312" w:cs="仿宋_GB2312"/>
          <w:color w:val="auto"/>
          <w:spacing w:val="18"/>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15" w:firstLineChars="200"/>
        <w:textAlignment w:val="auto"/>
        <w:rPr>
          <w:rFonts w:hint="eastAsia" w:ascii="仿宋_GB2312" w:hAnsi="仿宋_GB2312" w:eastAsia="仿宋_GB2312" w:cs="仿宋_GB2312"/>
          <w:b/>
          <w:bCs/>
          <w:spacing w:val="18"/>
          <w:sz w:val="32"/>
          <w:szCs w:val="32"/>
          <w:lang w:val="en-US" w:eastAsia="zh-CN"/>
        </w:rPr>
      </w:pPr>
      <w:r>
        <w:rPr>
          <w:rFonts w:hint="eastAsia" w:ascii="仿宋_GB2312" w:hAnsi="仿宋_GB2312" w:eastAsia="仿宋_GB2312" w:cs="仿宋_GB2312"/>
          <w:b/>
          <w:bCs/>
          <w:spacing w:val="18"/>
          <w:sz w:val="32"/>
          <w:szCs w:val="32"/>
          <w:lang w:val="en-US" w:eastAsia="zh-CN"/>
        </w:rPr>
        <w:t>绩效目标调整情况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因项目金额发生变化，原项目绩效目标同步调整。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 xml:space="preserve">  具体情况详见附件。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default"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附件一：伊州</w:t>
      </w:r>
      <w:r>
        <w:commentReference w:id="2"/>
      </w:r>
      <w:r>
        <w:rPr>
          <w:rFonts w:hint="eastAsia" w:ascii="仿宋_GB2312" w:hAnsi="仿宋_GB2312" w:eastAsia="仿宋_GB2312" w:cs="仿宋_GB2312"/>
          <w:spacing w:val="18"/>
          <w:sz w:val="32"/>
          <w:szCs w:val="32"/>
          <w:lang w:val="en-US" w:eastAsia="zh-CN"/>
        </w:rPr>
        <w:t>交通运输局项目支出表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56" w:firstLineChars="100"/>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附件二：项目绩效目标调整情况表（与原项目绩效目标表表样相同）</w:t>
      </w:r>
    </w:p>
    <w:p>
      <w:pPr>
        <w:rPr>
          <w:rFonts w:hint="eastAsia" w:ascii="仿宋_GB2312" w:hAnsi="仿宋_GB2312" w:eastAsia="仿宋_GB2312" w:cs="仿宋_GB2312"/>
          <w:spacing w:val="18"/>
          <w:sz w:val="32"/>
          <w:szCs w:val="32"/>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pacing w:val="18"/>
          <w:sz w:val="32"/>
          <w:szCs w:val="32"/>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附件一</w:t>
      </w:r>
    </w:p>
    <w:tbl>
      <w:tblPr>
        <w:tblStyle w:val="3"/>
        <w:tblW w:w="15129" w:type="dxa"/>
        <w:jc w:val="center"/>
        <w:tblInd w:w="0" w:type="dxa"/>
        <w:tblLayout w:type="fixed"/>
        <w:tblCellMar>
          <w:top w:w="0" w:type="dxa"/>
          <w:left w:w="108" w:type="dxa"/>
          <w:bottom w:w="0" w:type="dxa"/>
          <w:right w:w="108" w:type="dxa"/>
        </w:tblCellMar>
      </w:tblPr>
      <w:tblGrid>
        <w:gridCol w:w="438"/>
        <w:gridCol w:w="308"/>
        <w:gridCol w:w="645"/>
        <w:gridCol w:w="2220"/>
        <w:gridCol w:w="2055"/>
        <w:gridCol w:w="675"/>
        <w:gridCol w:w="630"/>
        <w:gridCol w:w="744"/>
        <w:gridCol w:w="931"/>
        <w:gridCol w:w="931"/>
        <w:gridCol w:w="932"/>
        <w:gridCol w:w="1179"/>
        <w:gridCol w:w="519"/>
        <w:gridCol w:w="730"/>
        <w:gridCol w:w="730"/>
        <w:gridCol w:w="731"/>
        <w:gridCol w:w="731"/>
      </w:tblGrid>
      <w:tr>
        <w:tblPrEx>
          <w:tblLayout w:type="fixed"/>
          <w:tblCellMar>
            <w:top w:w="0" w:type="dxa"/>
            <w:left w:w="108" w:type="dxa"/>
            <w:bottom w:w="0" w:type="dxa"/>
            <w:right w:w="108" w:type="dxa"/>
          </w:tblCellMar>
        </w:tblPrEx>
        <w:trPr>
          <w:trHeight w:val="476" w:hRule="atLeast"/>
          <w:jc w:val="center"/>
        </w:trPr>
        <w:tc>
          <w:tcPr>
            <w:tcW w:w="11688" w:type="dxa"/>
            <w:gridSpan w:val="12"/>
            <w:tcBorders>
              <w:top w:val="nil"/>
              <w:left w:val="nil"/>
              <w:bottom w:val="nil"/>
              <w:right w:val="nil"/>
            </w:tcBorders>
            <w:vAlign w:val="center"/>
          </w:tcPr>
          <w:p>
            <w:pPr>
              <w:keepNext w:val="0"/>
              <w:keepLines w:val="0"/>
              <w:widowControl/>
              <w:suppressLineNumbers w:val="0"/>
              <w:jc w:val="lef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编制部门:哈密市伊州区交通运输局</w:t>
            </w:r>
          </w:p>
        </w:tc>
        <w:tc>
          <w:tcPr>
            <w:tcW w:w="3441" w:type="dxa"/>
            <w:gridSpan w:val="5"/>
            <w:tcBorders>
              <w:top w:val="nil"/>
              <w:left w:val="nil"/>
              <w:bottom w:val="nil"/>
              <w:right w:val="nil"/>
            </w:tcBorders>
            <w:vAlign w:val="center"/>
          </w:tcPr>
          <w:p>
            <w:pPr>
              <w:keepNext w:val="0"/>
              <w:keepLines w:val="0"/>
              <w:widowControl/>
              <w:suppressLineNumbers w:val="0"/>
              <w:jc w:val="right"/>
              <w:textAlignment w:val="center"/>
              <w:rPr>
                <w:rFonts w:hint="default" w:ascii="仿宋_GB2312" w:hAnsi="宋体" w:eastAsia="仿宋_GB2312" w:cs="宋体"/>
                <w:color w:val="000000"/>
                <w:kern w:val="0"/>
                <w:sz w:val="24"/>
                <w:lang w:val="en-US" w:eastAsia="zh-CN"/>
              </w:rPr>
            </w:pPr>
            <w:r>
              <w:rPr>
                <w:rFonts w:hint="eastAsia" w:ascii="仿宋_GB2312" w:hAnsi="宋体" w:eastAsia="仿宋_GB2312" w:cs="仿宋_GB2312"/>
                <w:i w:val="0"/>
                <w:color w:val="000000"/>
                <w:kern w:val="0"/>
                <w:sz w:val="24"/>
                <w:szCs w:val="24"/>
                <w:u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1391" w:type="dxa"/>
            <w:gridSpan w:val="3"/>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科 目 编 码</w:t>
            </w:r>
          </w:p>
        </w:tc>
        <w:tc>
          <w:tcPr>
            <w:tcW w:w="2220" w:type="dxa"/>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科目</w:t>
            </w:r>
          </w:p>
        </w:tc>
        <w:tc>
          <w:tcPr>
            <w:tcW w:w="2055" w:type="dxa"/>
            <w:vMerge w:val="restart"/>
            <w:vAlign w:val="center"/>
          </w:tcPr>
          <w:p>
            <w:pPr>
              <w:keepNext w:val="0"/>
              <w:keepLines w:val="0"/>
              <w:widowControl/>
              <w:suppressLineNumbers w:val="0"/>
              <w:jc w:val="center"/>
              <w:textAlignment w:val="center"/>
              <w:rPr>
                <w:rFonts w:ascii="Calibri" w:hAnsi="Calibri" w:eastAsia="宋体" w:cs="Times New Roman"/>
                <w:kern w:val="2"/>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项目名称</w:t>
            </w:r>
          </w:p>
        </w:tc>
        <w:tc>
          <w:tcPr>
            <w:tcW w:w="675"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3"/>
            <w:r>
              <w:rPr>
                <w:rFonts w:hint="eastAsia" w:ascii="仿宋_GB2312" w:hAnsi="宋体" w:eastAsia="仿宋_GB2312" w:cs="仿宋_GB2312"/>
                <w:b/>
                <w:i w:val="0"/>
                <w:color w:val="000000"/>
                <w:kern w:val="0"/>
                <w:sz w:val="20"/>
                <w:szCs w:val="20"/>
                <w:u w:val="none"/>
                <w:lang w:val="en-US" w:eastAsia="zh-CN" w:bidi="ar"/>
              </w:rPr>
              <w:t>年初项目支出合计</w:t>
            </w:r>
            <w:commentRangeEnd w:id="3"/>
            <w:r>
              <w:commentReference w:id="3"/>
            </w:r>
          </w:p>
        </w:tc>
        <w:tc>
          <w:tcPr>
            <w:tcW w:w="6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commentRangeStart w:id="4"/>
            <w:r>
              <w:rPr>
                <w:rFonts w:hint="eastAsia" w:ascii="仿宋_GB2312" w:hAnsi="宋体" w:eastAsia="仿宋_GB2312" w:cs="仿宋_GB2312"/>
                <w:b/>
                <w:i w:val="0"/>
                <w:color w:val="000000"/>
                <w:kern w:val="0"/>
                <w:sz w:val="20"/>
                <w:szCs w:val="20"/>
                <w:u w:val="none"/>
                <w:lang w:val="en-US" w:eastAsia="zh-CN" w:bidi="ar"/>
              </w:rPr>
              <w:t>调整后项目支出合计</w:t>
            </w:r>
            <w:commentRangeEnd w:id="4"/>
            <w:r>
              <w:commentReference w:id="4"/>
            </w:r>
          </w:p>
        </w:tc>
        <w:tc>
          <w:tcPr>
            <w:tcW w:w="744"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工资福利支出</w:t>
            </w:r>
          </w:p>
        </w:tc>
        <w:tc>
          <w:tcPr>
            <w:tcW w:w="931" w:type="dxa"/>
            <w:vMerge w:val="restart"/>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商品和服务支出</w:t>
            </w:r>
          </w:p>
        </w:tc>
        <w:tc>
          <w:tcPr>
            <w:tcW w:w="9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对个人和家庭的补助</w:t>
            </w:r>
          </w:p>
        </w:tc>
        <w:tc>
          <w:tcPr>
            <w:tcW w:w="932"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债务利息及费用支出</w:t>
            </w:r>
          </w:p>
        </w:tc>
        <w:tc>
          <w:tcPr>
            <w:tcW w:w="1179"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资本性支出（基本建设）</w:t>
            </w:r>
          </w:p>
        </w:tc>
        <w:tc>
          <w:tcPr>
            <w:tcW w:w="519"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资本性支出</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对企业补助（基本建设）</w:t>
            </w:r>
          </w:p>
        </w:tc>
        <w:tc>
          <w:tcPr>
            <w:tcW w:w="730"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对企业补助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对社会保障基金补助</w:t>
            </w:r>
          </w:p>
        </w:tc>
        <w:tc>
          <w:tcPr>
            <w:tcW w:w="731" w:type="dxa"/>
            <w:vMerge w:val="restart"/>
            <w:vAlign w:val="center"/>
          </w:tcPr>
          <w:p>
            <w:pPr>
              <w:keepNext w:val="0"/>
              <w:keepLines w:val="0"/>
              <w:widowControl/>
              <w:suppressLineNumbers w:val="0"/>
              <w:jc w:val="center"/>
              <w:textAlignment w:val="center"/>
              <w:rPr>
                <w:rFonts w:ascii="仿宋_GB2312" w:hAnsi="宋体" w:eastAsia="仿宋_GB2312" w:cs="Times New Roman"/>
                <w:b/>
                <w:kern w:val="0"/>
                <w:sz w:val="20"/>
                <w:szCs w:val="20"/>
                <w:lang w:val="en-US" w:eastAsia="zh-CN" w:bidi="ar-SA"/>
              </w:rPr>
            </w:pPr>
            <w:r>
              <w:rPr>
                <w:rFonts w:hint="eastAsia" w:ascii="仿宋_GB2312" w:hAnsi="宋体" w:eastAsia="仿宋_GB2312" w:cs="仿宋_GB2312"/>
                <w:b/>
                <w:i w:val="0"/>
                <w:color w:val="000000"/>
                <w:kern w:val="0"/>
                <w:sz w:val="20"/>
                <w:szCs w:val="20"/>
                <w:u w:val="none"/>
                <w:lang w:val="en-US" w:eastAsia="zh-CN" w:bidi="ar"/>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9" w:hRule="atLeast"/>
          <w:jc w:val="center"/>
        </w:trPr>
        <w:tc>
          <w:tcPr>
            <w:tcW w:w="438"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类</w:t>
            </w:r>
          </w:p>
        </w:tc>
        <w:tc>
          <w:tcPr>
            <w:tcW w:w="308"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款</w:t>
            </w:r>
          </w:p>
        </w:tc>
        <w:tc>
          <w:tcPr>
            <w:tcW w:w="645" w:type="dxa"/>
            <w:vAlign w:val="center"/>
          </w:tcPr>
          <w:p>
            <w:pPr>
              <w:keepNext w:val="0"/>
              <w:keepLines w:val="0"/>
              <w:widowControl/>
              <w:suppressLineNumbers w:val="0"/>
              <w:jc w:val="center"/>
              <w:textAlignment w:val="center"/>
              <w:rPr>
                <w:rFonts w:ascii="仿宋_GB2312" w:hAnsi="宋体" w:eastAsia="仿宋_GB2312"/>
                <w:b/>
                <w:kern w:val="0"/>
                <w:sz w:val="20"/>
                <w:szCs w:val="20"/>
              </w:rPr>
            </w:pPr>
            <w:r>
              <w:rPr>
                <w:rFonts w:hint="eastAsia" w:ascii="仿宋_GB2312" w:hAnsi="宋体" w:eastAsia="仿宋_GB2312" w:cs="仿宋_GB2312"/>
                <w:b/>
                <w:i w:val="0"/>
                <w:color w:val="000000"/>
                <w:kern w:val="0"/>
                <w:sz w:val="20"/>
                <w:szCs w:val="20"/>
                <w:u w:val="none"/>
                <w:lang w:val="en-US" w:eastAsia="zh-CN" w:bidi="ar"/>
              </w:rPr>
              <w:t>项</w:t>
            </w:r>
          </w:p>
        </w:tc>
        <w:tc>
          <w:tcPr>
            <w:tcW w:w="2220" w:type="dxa"/>
            <w:vAlign w:val="center"/>
          </w:tcPr>
          <w:p>
            <w:pPr>
              <w:keepNext w:val="0"/>
              <w:keepLines w:val="0"/>
              <w:widowControl/>
              <w:suppressLineNumbers w:val="0"/>
              <w:jc w:val="center"/>
              <w:textAlignment w:val="center"/>
              <w:rPr>
                <w:rFonts w:ascii="Calibri" w:hAnsi="Calibri"/>
                <w:sz w:val="20"/>
                <w:szCs w:val="20"/>
              </w:rPr>
            </w:pPr>
            <w:r>
              <w:rPr>
                <w:rFonts w:hint="eastAsia" w:ascii="仿宋_GB2312" w:hAnsi="宋体" w:eastAsia="仿宋_GB2312" w:cs="仿宋_GB2312"/>
                <w:b/>
                <w:i w:val="0"/>
                <w:color w:val="000000"/>
                <w:kern w:val="0"/>
                <w:sz w:val="20"/>
                <w:szCs w:val="20"/>
                <w:u w:val="none"/>
                <w:lang w:val="en-US" w:eastAsia="zh-CN" w:bidi="ar"/>
              </w:rPr>
              <w:t>名称</w:t>
            </w:r>
          </w:p>
        </w:tc>
        <w:tc>
          <w:tcPr>
            <w:tcW w:w="2055" w:type="dxa"/>
            <w:vMerge w:val="continue"/>
            <w:vAlign w:val="center"/>
          </w:tcPr>
          <w:p>
            <w:pPr>
              <w:jc w:val="center"/>
            </w:pPr>
          </w:p>
        </w:tc>
        <w:tc>
          <w:tcPr>
            <w:tcW w:w="675" w:type="dxa"/>
            <w:vMerge w:val="continue"/>
            <w:vAlign w:val="center"/>
          </w:tcPr>
          <w:p>
            <w:pPr>
              <w:jc w:val="center"/>
              <w:rPr>
                <w:rFonts w:ascii="仿宋_GB2312" w:hAnsi="宋体" w:eastAsia="仿宋_GB2312"/>
                <w:b/>
                <w:kern w:val="0"/>
                <w:sz w:val="20"/>
                <w:szCs w:val="20"/>
              </w:rPr>
            </w:pPr>
          </w:p>
        </w:tc>
        <w:tc>
          <w:tcPr>
            <w:tcW w:w="630" w:type="dxa"/>
            <w:vMerge w:val="continue"/>
            <w:vAlign w:val="center"/>
          </w:tcPr>
          <w:p>
            <w:pPr>
              <w:jc w:val="center"/>
              <w:rPr>
                <w:rFonts w:ascii="仿宋_GB2312" w:hAnsi="宋体" w:eastAsia="仿宋_GB2312"/>
                <w:b/>
                <w:kern w:val="0"/>
                <w:sz w:val="20"/>
                <w:szCs w:val="20"/>
              </w:rPr>
            </w:pPr>
          </w:p>
        </w:tc>
        <w:tc>
          <w:tcPr>
            <w:tcW w:w="744" w:type="dxa"/>
            <w:vMerge w:val="continue"/>
            <w:vAlign w:val="center"/>
          </w:tcPr>
          <w:p>
            <w:pPr>
              <w:jc w:val="center"/>
              <w:rPr>
                <w:rFonts w:ascii="仿宋_GB2312" w:hAnsi="宋体" w:eastAsia="仿宋_GB2312"/>
                <w:b/>
                <w:kern w:val="0"/>
                <w:sz w:val="20"/>
                <w:szCs w:val="20"/>
              </w:rPr>
            </w:pPr>
          </w:p>
        </w:tc>
        <w:tc>
          <w:tcPr>
            <w:tcW w:w="931" w:type="dxa"/>
            <w:vMerge w:val="continue"/>
            <w:vAlign w:val="center"/>
          </w:tcPr>
          <w:p>
            <w:pPr>
              <w:jc w:val="center"/>
            </w:pPr>
          </w:p>
        </w:tc>
        <w:tc>
          <w:tcPr>
            <w:tcW w:w="931" w:type="dxa"/>
            <w:vMerge w:val="continue"/>
            <w:vAlign w:val="center"/>
          </w:tcPr>
          <w:p>
            <w:pPr>
              <w:jc w:val="center"/>
              <w:rPr>
                <w:rFonts w:ascii="仿宋_GB2312" w:hAnsi="宋体" w:eastAsia="仿宋_GB2312"/>
                <w:b/>
                <w:kern w:val="0"/>
                <w:sz w:val="20"/>
                <w:szCs w:val="20"/>
              </w:rPr>
            </w:pPr>
          </w:p>
        </w:tc>
        <w:tc>
          <w:tcPr>
            <w:tcW w:w="932" w:type="dxa"/>
            <w:vMerge w:val="continue"/>
            <w:vAlign w:val="center"/>
          </w:tcPr>
          <w:p>
            <w:pPr>
              <w:jc w:val="center"/>
              <w:rPr>
                <w:rFonts w:ascii="仿宋_GB2312" w:hAnsi="宋体" w:eastAsia="仿宋_GB2312"/>
                <w:b/>
                <w:kern w:val="0"/>
                <w:sz w:val="20"/>
                <w:szCs w:val="20"/>
              </w:rPr>
            </w:pPr>
          </w:p>
        </w:tc>
        <w:tc>
          <w:tcPr>
            <w:tcW w:w="1179" w:type="dxa"/>
            <w:vMerge w:val="continue"/>
            <w:vAlign w:val="center"/>
          </w:tcPr>
          <w:p>
            <w:pPr>
              <w:jc w:val="center"/>
              <w:rPr>
                <w:rFonts w:ascii="仿宋_GB2312" w:hAnsi="宋体" w:eastAsia="仿宋_GB2312"/>
                <w:b/>
                <w:kern w:val="0"/>
                <w:sz w:val="20"/>
                <w:szCs w:val="20"/>
              </w:rPr>
            </w:pPr>
          </w:p>
        </w:tc>
        <w:tc>
          <w:tcPr>
            <w:tcW w:w="519"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0"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c>
          <w:tcPr>
            <w:tcW w:w="731" w:type="dxa"/>
            <w:vMerge w:val="continue"/>
            <w:vAlign w:val="center"/>
          </w:tcPr>
          <w:p>
            <w:pPr>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308"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64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222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w:t>
            </w:r>
          </w:p>
        </w:tc>
        <w:tc>
          <w:tcPr>
            <w:tcW w:w="2055"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w:t>
            </w:r>
          </w:p>
        </w:tc>
        <w:tc>
          <w:tcPr>
            <w:tcW w:w="675"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w:t>
            </w:r>
          </w:p>
        </w:tc>
        <w:tc>
          <w:tcPr>
            <w:tcW w:w="6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2</w:t>
            </w:r>
          </w:p>
        </w:tc>
        <w:tc>
          <w:tcPr>
            <w:tcW w:w="744"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3</w:t>
            </w:r>
          </w:p>
        </w:tc>
        <w:tc>
          <w:tcPr>
            <w:tcW w:w="931" w:type="dxa"/>
            <w:vAlign w:val="center"/>
          </w:tcPr>
          <w:p>
            <w:pPr>
              <w:keepNext w:val="0"/>
              <w:keepLines w:val="0"/>
              <w:widowControl/>
              <w:suppressLineNumbers w:val="0"/>
              <w:jc w:val="center"/>
              <w:textAlignment w:val="center"/>
            </w:pPr>
            <w:r>
              <w:rPr>
                <w:rFonts w:hint="eastAsia" w:ascii="仿宋_GB2312" w:hAnsi="宋体" w:eastAsia="仿宋_GB2312" w:cs="仿宋_GB2312"/>
                <w:b/>
                <w:i w:val="0"/>
                <w:color w:val="000000"/>
                <w:kern w:val="0"/>
                <w:sz w:val="20"/>
                <w:szCs w:val="20"/>
                <w:u w:val="none"/>
                <w:lang w:val="en-US" w:eastAsia="zh-CN" w:bidi="ar"/>
              </w:rPr>
              <w:t>4</w:t>
            </w:r>
          </w:p>
        </w:tc>
        <w:tc>
          <w:tcPr>
            <w:tcW w:w="9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5</w:t>
            </w:r>
          </w:p>
        </w:tc>
        <w:tc>
          <w:tcPr>
            <w:tcW w:w="932"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6</w:t>
            </w:r>
          </w:p>
        </w:tc>
        <w:tc>
          <w:tcPr>
            <w:tcW w:w="1179"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7</w:t>
            </w:r>
          </w:p>
        </w:tc>
        <w:tc>
          <w:tcPr>
            <w:tcW w:w="519"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9</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10</w:t>
            </w:r>
          </w:p>
        </w:tc>
        <w:tc>
          <w:tcPr>
            <w:tcW w:w="730"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11</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12</w:t>
            </w:r>
          </w:p>
        </w:tc>
        <w:tc>
          <w:tcPr>
            <w:tcW w:w="731" w:type="dxa"/>
            <w:vAlign w:val="center"/>
          </w:tcPr>
          <w:p>
            <w:pPr>
              <w:keepNext w:val="0"/>
              <w:keepLines w:val="0"/>
              <w:widowControl/>
              <w:suppressLineNumbers w:val="0"/>
              <w:jc w:val="center"/>
              <w:textAlignment w:val="center"/>
              <w:rPr>
                <w:rFonts w:hint="eastAsia" w:ascii="仿宋_GB2312" w:eastAsia="仿宋_GB2312"/>
                <w:b/>
                <w:bCs/>
                <w:color w:val="auto"/>
                <w:sz w:val="20"/>
                <w:szCs w:val="20"/>
                <w:highlight w:val="none"/>
                <w:lang w:val="en-US" w:eastAsia="zh-CN"/>
              </w:rPr>
            </w:pPr>
            <w:r>
              <w:rPr>
                <w:rFonts w:hint="eastAsia" w:ascii="仿宋_GB2312" w:hAnsi="宋体" w:eastAsia="仿宋_GB2312" w:cs="仿宋_GB2312"/>
                <w:b/>
                <w:i w:val="0"/>
                <w:color w:val="000000"/>
                <w:kern w:val="0"/>
                <w:sz w:val="20"/>
                <w:szCs w:val="20"/>
                <w:u w:val="none"/>
                <w:lang w:val="en-US" w:eastAsia="zh-CN" w:bidi="ar"/>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43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212</w:t>
            </w:r>
          </w:p>
        </w:tc>
        <w:tc>
          <w:tcPr>
            <w:tcW w:w="308" w:type="dxa"/>
            <w:vAlign w:val="center"/>
          </w:tcPr>
          <w:p>
            <w:pPr>
              <w:jc w:val="left"/>
              <w:rPr>
                <w:rFonts w:ascii="仿宋_GB2312" w:hAnsi="宋体" w:eastAsia="仿宋_GB2312"/>
                <w:kern w:val="0"/>
                <w:sz w:val="16"/>
                <w:szCs w:val="16"/>
              </w:rPr>
            </w:pPr>
          </w:p>
        </w:tc>
        <w:tc>
          <w:tcPr>
            <w:tcW w:w="645" w:type="dxa"/>
            <w:vAlign w:val="center"/>
          </w:tcPr>
          <w:p>
            <w:pPr>
              <w:jc w:val="left"/>
              <w:rPr>
                <w:rFonts w:ascii="仿宋_GB2312" w:hAnsi="宋体" w:eastAsia="仿宋_GB2312"/>
                <w:kern w:val="0"/>
                <w:sz w:val="16"/>
                <w:szCs w:val="16"/>
              </w:rPr>
            </w:pPr>
          </w:p>
        </w:tc>
        <w:tc>
          <w:tcPr>
            <w:tcW w:w="2220"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城乡社区支出</w:t>
            </w:r>
          </w:p>
        </w:tc>
        <w:tc>
          <w:tcPr>
            <w:tcW w:w="2055" w:type="dxa"/>
            <w:vAlign w:val="center"/>
          </w:tcPr>
          <w:p>
            <w:pPr>
              <w:jc w:val="left"/>
            </w:pPr>
          </w:p>
        </w:tc>
        <w:tc>
          <w:tcPr>
            <w:tcW w:w="675" w:type="dxa"/>
            <w:vAlign w:val="center"/>
          </w:tcPr>
          <w:p>
            <w:pPr>
              <w:jc w:val="right"/>
              <w:rPr>
                <w:rFonts w:hint="default"/>
                <w:lang w:val="en-US" w:eastAsia="zh-CN"/>
              </w:rPr>
            </w:pPr>
            <w:r>
              <w:rPr>
                <w:rFonts w:hint="eastAsia"/>
                <w:lang w:val="en-US" w:eastAsia="zh-CN"/>
              </w:rPr>
              <w:t>40</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40</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1179" w:type="dxa"/>
            <w:vAlign w:val="center"/>
          </w:tcPr>
          <w:p>
            <w:pPr>
              <w:jc w:val="right"/>
              <w:rPr>
                <w:rFonts w:hint="default"/>
                <w:lang w:val="en-US" w:eastAsia="zh-CN"/>
              </w:rPr>
            </w:pPr>
            <w:r>
              <w:rPr>
                <w:rFonts w:hint="eastAsia"/>
                <w:lang w:val="en-US" w:eastAsia="zh-CN"/>
              </w:rPr>
              <w:t>40</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4" w:hRule="atLeast"/>
          <w:jc w:val="center"/>
        </w:trPr>
        <w:tc>
          <w:tcPr>
            <w:tcW w:w="43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212</w:t>
            </w:r>
          </w:p>
        </w:tc>
        <w:tc>
          <w:tcPr>
            <w:tcW w:w="308"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645" w:type="dxa"/>
            <w:vAlign w:val="center"/>
          </w:tcPr>
          <w:p>
            <w:pPr>
              <w:jc w:val="left"/>
              <w:rPr>
                <w:rFonts w:ascii="仿宋_GB2312" w:hAnsi="宋体" w:eastAsia="仿宋_GB2312"/>
                <w:kern w:val="0"/>
                <w:sz w:val="16"/>
                <w:szCs w:val="16"/>
              </w:rPr>
            </w:pPr>
          </w:p>
        </w:tc>
        <w:tc>
          <w:tcPr>
            <w:tcW w:w="2220"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1"/>
                <w:szCs w:val="21"/>
                <w:highlight w:val="none"/>
                <w:lang w:val="en-US" w:eastAsia="zh-CN"/>
              </w:rPr>
              <w:t>城乡社区公共设</w:t>
            </w:r>
            <w:r>
              <w:rPr>
                <w:rFonts w:hint="eastAsia" w:ascii="仿宋_GB2312" w:eastAsia="仿宋_GB2312"/>
                <w:color w:val="auto"/>
                <w:sz w:val="20"/>
                <w:szCs w:val="20"/>
                <w:highlight w:val="none"/>
                <w:lang w:val="en-US" w:eastAsia="zh-CN"/>
              </w:rPr>
              <w:t>施</w:t>
            </w:r>
          </w:p>
        </w:tc>
        <w:tc>
          <w:tcPr>
            <w:tcW w:w="2055" w:type="dxa"/>
            <w:vAlign w:val="center"/>
          </w:tcPr>
          <w:p>
            <w:pPr>
              <w:jc w:val="left"/>
            </w:pPr>
          </w:p>
        </w:tc>
        <w:tc>
          <w:tcPr>
            <w:tcW w:w="675" w:type="dxa"/>
            <w:vAlign w:val="center"/>
          </w:tcPr>
          <w:p>
            <w:pPr>
              <w:jc w:val="right"/>
              <w:rPr>
                <w:rFonts w:hint="default"/>
                <w:lang w:val="en-US" w:eastAsia="zh-CN"/>
              </w:rPr>
            </w:pPr>
            <w:r>
              <w:rPr>
                <w:rFonts w:hint="eastAsia"/>
                <w:lang w:val="en-US" w:eastAsia="zh-CN"/>
              </w:rPr>
              <w:t>40</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40</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1179" w:type="dxa"/>
            <w:vAlign w:val="center"/>
          </w:tcPr>
          <w:p>
            <w:pPr>
              <w:jc w:val="right"/>
              <w:rPr>
                <w:rFonts w:hint="default"/>
                <w:lang w:val="en-US" w:eastAsia="zh-CN"/>
              </w:rPr>
            </w:pPr>
            <w:r>
              <w:rPr>
                <w:rFonts w:hint="eastAsia"/>
                <w:lang w:val="en-US" w:eastAsia="zh-CN"/>
              </w:rPr>
              <w:t>40</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 w:hRule="atLeast"/>
          <w:jc w:val="center"/>
        </w:trPr>
        <w:tc>
          <w:tcPr>
            <w:tcW w:w="438"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212</w:t>
            </w:r>
          </w:p>
        </w:tc>
        <w:tc>
          <w:tcPr>
            <w:tcW w:w="308"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03</w:t>
            </w:r>
          </w:p>
        </w:tc>
        <w:tc>
          <w:tcPr>
            <w:tcW w:w="64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99</w:t>
            </w:r>
          </w:p>
        </w:tc>
        <w:tc>
          <w:tcPr>
            <w:tcW w:w="2220" w:type="dxa"/>
            <w:vAlign w:val="center"/>
          </w:tcPr>
          <w:p>
            <w:pPr>
              <w:jc w:val="left"/>
              <w:rPr>
                <w:rFonts w:hint="eastAsia" w:ascii="仿宋_GB2312" w:hAnsi="宋体" w:eastAsia="仿宋_GB2312" w:cs="仿宋_GB2312"/>
                <w:i w:val="0"/>
                <w:color w:val="000000"/>
                <w:kern w:val="0"/>
                <w:sz w:val="20"/>
                <w:szCs w:val="20"/>
                <w:u w:val="none"/>
                <w:lang w:val="en-US" w:eastAsia="zh-CN" w:bidi="ar"/>
              </w:rPr>
            </w:pPr>
            <w:r>
              <w:rPr>
                <w:rFonts w:hint="eastAsia" w:ascii="仿宋_GB2312" w:eastAsia="仿宋_GB2312"/>
                <w:color w:val="auto"/>
                <w:sz w:val="20"/>
                <w:szCs w:val="20"/>
                <w:highlight w:val="none"/>
                <w:lang w:val="en-US" w:eastAsia="zh-CN"/>
              </w:rPr>
              <w:t>其他城乡社区公共设施支出</w:t>
            </w:r>
          </w:p>
        </w:tc>
        <w:tc>
          <w:tcPr>
            <w:tcW w:w="2055" w:type="dxa"/>
            <w:vAlign w:val="center"/>
          </w:tcPr>
          <w:p>
            <w:pPr>
              <w:jc w:val="left"/>
            </w:pPr>
            <w:r>
              <w:rPr>
                <w:rFonts w:hint="eastAsia" w:ascii="仿宋_GB2312" w:eastAsia="仿宋_GB2312"/>
                <w:color w:val="auto"/>
                <w:sz w:val="20"/>
                <w:szCs w:val="20"/>
                <w:highlight w:val="none"/>
                <w:lang w:val="en-US" w:eastAsia="zh-CN"/>
              </w:rPr>
              <w:t>全口径项目</w:t>
            </w:r>
          </w:p>
        </w:tc>
        <w:tc>
          <w:tcPr>
            <w:tcW w:w="675" w:type="dxa"/>
            <w:vAlign w:val="center"/>
          </w:tcPr>
          <w:p>
            <w:pPr>
              <w:jc w:val="right"/>
              <w:rPr>
                <w:rFonts w:hint="default"/>
                <w:lang w:val="en-US" w:eastAsia="zh-CN"/>
              </w:rPr>
            </w:pPr>
            <w:r>
              <w:rPr>
                <w:rFonts w:hint="eastAsia"/>
                <w:lang w:val="en-US" w:eastAsia="zh-CN"/>
              </w:rPr>
              <w:t>40</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40</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p>
        </w:tc>
        <w:tc>
          <w:tcPr>
            <w:tcW w:w="1179" w:type="dxa"/>
            <w:vAlign w:val="center"/>
          </w:tcPr>
          <w:p>
            <w:pPr>
              <w:jc w:val="right"/>
              <w:rPr>
                <w:rFonts w:hint="default"/>
                <w:lang w:val="en-US" w:eastAsia="zh-CN"/>
              </w:rPr>
            </w:pPr>
            <w:r>
              <w:rPr>
                <w:rFonts w:hint="eastAsia"/>
                <w:lang w:val="en-US" w:eastAsia="zh-CN"/>
              </w:rPr>
              <w:t>40</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38" w:type="dxa"/>
            <w:vAlign w:val="center"/>
          </w:tcPr>
          <w:p>
            <w:pPr>
              <w:jc w:val="left"/>
              <w:rPr>
                <w:rFonts w:hint="default" w:ascii="仿宋_GB2312" w:hAnsi="宋体" w:eastAsia="仿宋_GB2312"/>
                <w:kern w:val="0"/>
                <w:sz w:val="16"/>
                <w:szCs w:val="16"/>
                <w:lang w:val="en-US"/>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ascii="仿宋_GB2312" w:hAnsi="宋体" w:eastAsia="仿宋_GB2312"/>
                <w:kern w:val="0"/>
                <w:sz w:val="16"/>
                <w:szCs w:val="16"/>
              </w:rPr>
            </w:pPr>
          </w:p>
        </w:tc>
        <w:tc>
          <w:tcPr>
            <w:tcW w:w="645" w:type="dxa"/>
            <w:vAlign w:val="center"/>
          </w:tcPr>
          <w:p>
            <w:pPr>
              <w:jc w:val="left"/>
              <w:rPr>
                <w:rFonts w:ascii="仿宋_GB2312" w:hAnsi="宋体" w:eastAsia="仿宋_GB2312"/>
                <w:kern w:val="0"/>
                <w:sz w:val="16"/>
                <w:szCs w:val="16"/>
              </w:rPr>
            </w:pP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交通运输支出</w:t>
            </w:r>
          </w:p>
        </w:tc>
        <w:tc>
          <w:tcPr>
            <w:tcW w:w="2055" w:type="dxa"/>
            <w:vAlign w:val="center"/>
          </w:tcPr>
          <w:p>
            <w:pPr>
              <w:jc w:val="left"/>
            </w:pPr>
          </w:p>
        </w:tc>
        <w:tc>
          <w:tcPr>
            <w:tcW w:w="675" w:type="dxa"/>
            <w:vAlign w:val="center"/>
          </w:tcPr>
          <w:p>
            <w:pPr>
              <w:jc w:val="right"/>
              <w:rPr>
                <w:rFonts w:hint="eastAsia" w:eastAsiaTheme="minorEastAsia"/>
                <w:lang w:val="en-US" w:eastAsia="zh-CN"/>
              </w:rPr>
            </w:pPr>
            <w:r>
              <w:rPr>
                <w:rFonts w:hint="eastAsia" w:ascii="仿宋_GB2312" w:eastAsia="仿宋_GB2312"/>
                <w:color w:val="auto"/>
                <w:sz w:val="20"/>
                <w:szCs w:val="20"/>
                <w:highlight w:val="none"/>
                <w:lang w:val="en-US" w:eastAsia="zh-CN"/>
              </w:rPr>
              <w:t>2,866.85</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3106.85</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756.00</w:t>
            </w:r>
          </w:p>
        </w:tc>
        <w:tc>
          <w:tcPr>
            <w:tcW w:w="1179"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1941.13</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409.72</w:t>
            </w:r>
          </w:p>
        </w:tc>
        <w:tc>
          <w:tcPr>
            <w:tcW w:w="731" w:type="dxa"/>
            <w:vAlign w:val="center"/>
          </w:tcPr>
          <w:p>
            <w:pPr>
              <w:jc w:val="right"/>
              <w:rPr>
                <w:rFonts w:ascii="仿宋_GB2312" w:hAnsi="宋体" w:eastAsia="仿宋_GB2312"/>
                <w:kern w:val="0"/>
                <w:sz w:val="16"/>
                <w:szCs w:val="16"/>
              </w:rPr>
            </w:pPr>
          </w:p>
        </w:tc>
        <w:tc>
          <w:tcPr>
            <w:tcW w:w="731" w:type="dxa"/>
            <w:vAlign w:val="center"/>
          </w:tcPr>
          <w:p>
            <w:pPr>
              <w:tabs>
                <w:tab w:val="left" w:pos="505"/>
              </w:tabs>
              <w:jc w:val="lef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0" w:hRule="atLeast"/>
          <w:jc w:val="center"/>
        </w:trPr>
        <w:tc>
          <w:tcPr>
            <w:tcW w:w="438" w:type="dxa"/>
            <w:vAlign w:val="center"/>
          </w:tcPr>
          <w:p>
            <w:pPr>
              <w:jc w:val="left"/>
              <w:rPr>
                <w:rFonts w:hint="default" w:ascii="仿宋_GB2312" w:hAnsi="宋体" w:eastAsia="仿宋_GB2312"/>
                <w:kern w:val="0"/>
                <w:sz w:val="16"/>
                <w:szCs w:val="16"/>
                <w:lang w:val="en-US"/>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hAnsi="宋体" w:eastAsia="仿宋_GB2312"/>
                <w:kern w:val="0"/>
                <w:sz w:val="16"/>
                <w:szCs w:val="16"/>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ascii="仿宋_GB2312" w:hAnsi="宋体" w:eastAsia="仿宋_GB2312"/>
                <w:kern w:val="0"/>
                <w:sz w:val="16"/>
                <w:szCs w:val="16"/>
              </w:rPr>
            </w:pPr>
          </w:p>
        </w:tc>
        <w:tc>
          <w:tcPr>
            <w:tcW w:w="222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公路水路运输</w:t>
            </w:r>
          </w:p>
        </w:tc>
        <w:tc>
          <w:tcPr>
            <w:tcW w:w="2055" w:type="dxa"/>
            <w:vAlign w:val="center"/>
          </w:tcPr>
          <w:p>
            <w:pPr>
              <w:jc w:val="left"/>
            </w:pPr>
          </w:p>
        </w:tc>
        <w:tc>
          <w:tcPr>
            <w:tcW w:w="675" w:type="dxa"/>
            <w:vAlign w:val="center"/>
          </w:tcPr>
          <w:p>
            <w:pPr>
              <w:jc w:val="right"/>
              <w:rPr>
                <w:rFonts w:hint="eastAsia" w:eastAsiaTheme="minorEastAsia"/>
                <w:lang w:val="en-US" w:eastAsia="zh-CN"/>
              </w:rPr>
            </w:pPr>
            <w:r>
              <w:rPr>
                <w:rFonts w:hint="eastAsia" w:ascii="仿宋_GB2312" w:eastAsia="仿宋_GB2312"/>
                <w:color w:val="auto"/>
                <w:sz w:val="20"/>
                <w:szCs w:val="20"/>
                <w:highlight w:val="none"/>
                <w:lang w:val="en-US" w:eastAsia="zh-CN"/>
              </w:rPr>
              <w:t>2,457.13</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2697.13</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756.00</w:t>
            </w:r>
          </w:p>
        </w:tc>
        <w:tc>
          <w:tcPr>
            <w:tcW w:w="1179"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1941.13</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22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公路建设</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关于提前下达2024年车辆购置税收入补助地方（第一批）用于普通省道和农村公路建设“以奖代补”资金预算的通知+哈市财建【2023】95号</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1,701.13</w:t>
            </w:r>
          </w:p>
        </w:tc>
        <w:tc>
          <w:tcPr>
            <w:tcW w:w="63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1701.13</w:t>
            </w:r>
          </w:p>
        </w:tc>
        <w:tc>
          <w:tcPr>
            <w:tcW w:w="744"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2" w:type="dxa"/>
            <w:vAlign w:val="center"/>
          </w:tcPr>
          <w:p>
            <w:pPr>
              <w:jc w:val="left"/>
              <w:rPr>
                <w:rFonts w:hint="eastAsia" w:ascii="仿宋_GB2312" w:eastAsia="仿宋_GB2312"/>
                <w:color w:val="auto"/>
                <w:sz w:val="20"/>
                <w:szCs w:val="20"/>
                <w:highlight w:val="none"/>
                <w:lang w:val="en-US" w:eastAsia="zh-CN"/>
              </w:rPr>
            </w:pPr>
          </w:p>
        </w:tc>
        <w:tc>
          <w:tcPr>
            <w:tcW w:w="1179"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1701.13</w:t>
            </w:r>
          </w:p>
        </w:tc>
        <w:tc>
          <w:tcPr>
            <w:tcW w:w="519"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04</w:t>
            </w:r>
          </w:p>
        </w:tc>
        <w:tc>
          <w:tcPr>
            <w:tcW w:w="222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公路建设</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G312与八一北路平交路口至G312与三乡学校平交路口段沿线出行项目</w:t>
            </w:r>
          </w:p>
        </w:tc>
        <w:tc>
          <w:tcPr>
            <w:tcW w:w="67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63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w:t>
            </w:r>
          </w:p>
        </w:tc>
        <w:tc>
          <w:tcPr>
            <w:tcW w:w="744"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2" w:type="dxa"/>
            <w:vAlign w:val="center"/>
          </w:tcPr>
          <w:p>
            <w:pPr>
              <w:jc w:val="left"/>
              <w:rPr>
                <w:rFonts w:hint="eastAsia" w:ascii="仿宋_GB2312" w:eastAsia="仿宋_GB2312"/>
                <w:color w:val="auto"/>
                <w:sz w:val="20"/>
                <w:szCs w:val="20"/>
                <w:highlight w:val="none"/>
                <w:lang w:val="en-US" w:eastAsia="zh-CN"/>
              </w:rPr>
            </w:pPr>
          </w:p>
        </w:tc>
        <w:tc>
          <w:tcPr>
            <w:tcW w:w="1179"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w:t>
            </w:r>
          </w:p>
        </w:tc>
        <w:tc>
          <w:tcPr>
            <w:tcW w:w="519"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6" w:hRule="atLeast"/>
          <w:jc w:val="center"/>
        </w:trPr>
        <w:tc>
          <w:tcPr>
            <w:tcW w:w="43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222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公路养护</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关于提前下达2024年公路日常养护资金的通知+哈市财建【2023】99号</w:t>
            </w:r>
          </w:p>
        </w:tc>
        <w:tc>
          <w:tcPr>
            <w:tcW w:w="67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360.00</w:t>
            </w:r>
          </w:p>
        </w:tc>
        <w:tc>
          <w:tcPr>
            <w:tcW w:w="630"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w:t>
            </w:r>
          </w:p>
        </w:tc>
        <w:tc>
          <w:tcPr>
            <w:tcW w:w="744"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1" w:type="dxa"/>
            <w:vAlign w:val="center"/>
          </w:tcPr>
          <w:p>
            <w:pPr>
              <w:jc w:val="left"/>
              <w:rPr>
                <w:rFonts w:hint="eastAsia" w:ascii="仿宋_GB2312" w:eastAsia="仿宋_GB2312"/>
                <w:color w:val="auto"/>
                <w:sz w:val="20"/>
                <w:szCs w:val="20"/>
                <w:highlight w:val="none"/>
                <w:lang w:val="en-US" w:eastAsia="zh-CN"/>
              </w:rPr>
            </w:pPr>
          </w:p>
        </w:tc>
        <w:tc>
          <w:tcPr>
            <w:tcW w:w="932"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360.00</w:t>
            </w:r>
          </w:p>
        </w:tc>
        <w:tc>
          <w:tcPr>
            <w:tcW w:w="1179" w:type="dxa"/>
            <w:vAlign w:val="center"/>
          </w:tcPr>
          <w:p>
            <w:pPr>
              <w:jc w:val="left"/>
              <w:rPr>
                <w:rFonts w:hint="default" w:ascii="仿宋_GB2312" w:eastAsia="仿宋_GB2312"/>
                <w:color w:val="auto"/>
                <w:sz w:val="20"/>
                <w:szCs w:val="20"/>
                <w:highlight w:val="none"/>
                <w:lang w:val="en-US" w:eastAsia="zh-CN"/>
              </w:rPr>
            </w:pPr>
          </w:p>
        </w:tc>
        <w:tc>
          <w:tcPr>
            <w:tcW w:w="519"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0"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06</w:t>
            </w: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公路养护</w:t>
            </w:r>
          </w:p>
        </w:tc>
        <w:tc>
          <w:tcPr>
            <w:tcW w:w="2055" w:type="dxa"/>
            <w:vAlign w:val="center"/>
          </w:tcPr>
          <w:p>
            <w:pPr>
              <w:jc w:val="left"/>
            </w:pPr>
            <w:r>
              <w:rPr>
                <w:rFonts w:hint="eastAsia" w:ascii="仿宋_GB2312" w:eastAsia="仿宋_GB2312"/>
                <w:color w:val="auto"/>
                <w:sz w:val="20"/>
                <w:szCs w:val="20"/>
                <w:highlight w:val="none"/>
                <w:lang w:val="en-US" w:eastAsia="zh-CN"/>
              </w:rPr>
              <w:t>关于提前下达2024年中央对地方成品油税费改革转移支付资金用于农村公路养护支出预算的通知+哈市财建（2023）83号</w:t>
            </w:r>
          </w:p>
        </w:tc>
        <w:tc>
          <w:tcPr>
            <w:tcW w:w="675" w:type="dxa"/>
            <w:vAlign w:val="center"/>
          </w:tcPr>
          <w:p>
            <w:pPr>
              <w:jc w:val="right"/>
              <w:rPr>
                <w:rFonts w:hint="eastAsia" w:eastAsiaTheme="minorEastAsia"/>
                <w:lang w:val="en-US" w:eastAsia="zh-CN"/>
              </w:rPr>
            </w:pPr>
            <w:r>
              <w:rPr>
                <w:rFonts w:hint="eastAsia" w:ascii="仿宋_GB2312" w:eastAsia="仿宋_GB2312"/>
                <w:color w:val="auto"/>
                <w:sz w:val="20"/>
                <w:szCs w:val="20"/>
                <w:highlight w:val="none"/>
                <w:lang w:val="en-US" w:eastAsia="zh-CN"/>
              </w:rPr>
              <w:t>396.00</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396</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ascii="仿宋_GB2312" w:hAnsi="宋体" w:eastAsia="仿宋_GB2312"/>
                <w:kern w:val="0"/>
                <w:sz w:val="16"/>
                <w:szCs w:val="16"/>
              </w:rPr>
            </w:pPr>
            <w:r>
              <w:rPr>
                <w:rFonts w:hint="eastAsia" w:ascii="仿宋_GB2312" w:eastAsia="仿宋_GB2312"/>
                <w:color w:val="auto"/>
                <w:sz w:val="20"/>
                <w:szCs w:val="20"/>
                <w:highlight w:val="none"/>
                <w:lang w:val="en-US" w:eastAsia="zh-CN"/>
              </w:rPr>
              <w:t>396.00</w:t>
            </w:r>
          </w:p>
        </w:tc>
        <w:tc>
          <w:tcPr>
            <w:tcW w:w="1179" w:type="dxa"/>
            <w:vAlign w:val="center"/>
          </w:tcPr>
          <w:p>
            <w:pPr>
              <w:jc w:val="right"/>
              <w:rPr>
                <w:rFonts w:hint="default" w:eastAsiaTheme="minorEastAsia"/>
                <w:lang w:val="en-US" w:eastAsia="zh-CN"/>
              </w:rPr>
            </w:pP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公路养护</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农村公路日常养护经费</w:t>
            </w:r>
          </w:p>
        </w:tc>
        <w:tc>
          <w:tcPr>
            <w:tcW w:w="6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63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50</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center"/>
              <w:rPr>
                <w:rFonts w:hint="default" w:ascii="仿宋_GB2312" w:eastAsia="仿宋_GB2312"/>
                <w:color w:val="auto"/>
                <w:sz w:val="20"/>
                <w:szCs w:val="20"/>
                <w:highlight w:val="none"/>
                <w:lang w:val="en-US" w:eastAsia="zh-CN"/>
              </w:rPr>
            </w:pPr>
          </w:p>
        </w:tc>
        <w:tc>
          <w:tcPr>
            <w:tcW w:w="1179" w:type="dxa"/>
            <w:vAlign w:val="center"/>
          </w:tcPr>
          <w:p>
            <w:pPr>
              <w:jc w:val="right"/>
              <w:rPr>
                <w:rFonts w:hint="default" w:eastAsiaTheme="minorEastAsia"/>
                <w:lang w:val="en-US" w:eastAsia="zh-CN"/>
              </w:rPr>
            </w:pPr>
            <w:r>
              <w:rPr>
                <w:rFonts w:hint="eastAsia"/>
                <w:lang w:val="en-US" w:eastAsia="zh-CN"/>
              </w:rPr>
              <w:t>50</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hint="eastAsia" w:ascii="仿宋_GB2312" w:eastAsia="仿宋_GB2312"/>
                <w:color w:val="auto"/>
                <w:sz w:val="20"/>
                <w:szCs w:val="20"/>
                <w:highlight w:val="none"/>
                <w:lang w:val="en-US" w:eastAsia="zh-CN"/>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645" w:type="dxa"/>
            <w:vAlign w:val="center"/>
          </w:tcPr>
          <w:p>
            <w:pPr>
              <w:jc w:val="lef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06</w:t>
            </w: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公路养护</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伊州区农村公路技术状况普查评定经费</w:t>
            </w:r>
          </w:p>
        </w:tc>
        <w:tc>
          <w:tcPr>
            <w:tcW w:w="675"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w:t>
            </w:r>
          </w:p>
        </w:tc>
        <w:tc>
          <w:tcPr>
            <w:tcW w:w="630" w:type="dxa"/>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hint="default" w:ascii="仿宋_GB2312" w:eastAsia="仿宋_GB2312"/>
                <w:color w:val="auto"/>
                <w:sz w:val="20"/>
                <w:szCs w:val="20"/>
                <w:highlight w:val="none"/>
                <w:lang w:val="en-US" w:eastAsia="zh-CN"/>
              </w:rPr>
            </w:pPr>
          </w:p>
        </w:tc>
        <w:tc>
          <w:tcPr>
            <w:tcW w:w="1179" w:type="dxa"/>
            <w:vAlign w:val="center"/>
          </w:tcPr>
          <w:p>
            <w:pPr>
              <w:jc w:val="right"/>
              <w:rPr>
                <w:rFonts w:hint="default" w:eastAsiaTheme="minorEastAsia"/>
                <w:lang w:val="en-US" w:eastAsia="zh-CN"/>
              </w:rPr>
            </w:pPr>
            <w:r>
              <w:rPr>
                <w:rFonts w:hint="eastAsia"/>
                <w:lang w:val="en-US" w:eastAsia="zh-CN"/>
              </w:rPr>
              <w:t>40</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hint="eastAsia" w:ascii="仿宋_GB2312" w:eastAsia="仿宋_GB2312"/>
                <w:color w:val="auto"/>
                <w:sz w:val="20"/>
                <w:szCs w:val="20"/>
                <w:highlight w:val="none"/>
                <w:lang w:val="en-US" w:eastAsia="zh-CN"/>
              </w:rPr>
            </w:pPr>
          </w:p>
        </w:tc>
        <w:tc>
          <w:tcPr>
            <w:tcW w:w="730" w:type="dxa"/>
            <w:vAlign w:val="center"/>
          </w:tcPr>
          <w:p>
            <w:pPr>
              <w:jc w:val="right"/>
              <w:rPr>
                <w:rFonts w:ascii="仿宋_GB2312" w:hAnsi="宋体" w:eastAsia="仿宋_GB2312"/>
                <w:kern w:val="0"/>
                <w:sz w:val="16"/>
                <w:szCs w:val="16"/>
              </w:rPr>
            </w:pP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645" w:type="dxa"/>
            <w:vAlign w:val="center"/>
          </w:tcPr>
          <w:p>
            <w:pPr>
              <w:jc w:val="left"/>
              <w:rPr>
                <w:rFonts w:hint="eastAsia" w:ascii="仿宋_GB2312" w:eastAsia="仿宋_GB2312"/>
                <w:color w:val="auto"/>
                <w:sz w:val="20"/>
                <w:szCs w:val="20"/>
                <w:highlight w:val="none"/>
                <w:lang w:val="en-US" w:eastAsia="zh-CN"/>
              </w:rPr>
            </w:pP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其他交通运输支出</w:t>
            </w:r>
          </w:p>
        </w:tc>
        <w:tc>
          <w:tcPr>
            <w:tcW w:w="2055" w:type="dxa"/>
            <w:vAlign w:val="center"/>
          </w:tcPr>
          <w:p>
            <w:pPr>
              <w:jc w:val="left"/>
              <w:rPr>
                <w:rFonts w:hint="eastAsia" w:ascii="仿宋_GB2312" w:eastAsia="仿宋_GB2312"/>
                <w:color w:val="auto"/>
                <w:sz w:val="20"/>
                <w:szCs w:val="20"/>
                <w:highlight w:val="none"/>
                <w:lang w:val="en-US" w:eastAsia="zh-CN"/>
              </w:rPr>
            </w:pPr>
          </w:p>
        </w:tc>
        <w:tc>
          <w:tcPr>
            <w:tcW w:w="6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409.72</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408.72</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1179" w:type="dxa"/>
            <w:vAlign w:val="center"/>
          </w:tcPr>
          <w:p>
            <w:pPr>
              <w:jc w:val="right"/>
              <w:rPr>
                <w:rFonts w:hint="default" w:eastAsiaTheme="minorEastAsia"/>
                <w:lang w:val="en-US" w:eastAsia="zh-CN"/>
              </w:rPr>
            </w:pP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409.72</w:t>
            </w: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64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其他交通运输支出</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关于预拨2023年度农村客运补贴资金及城市交通发展奖励资金预算的通知+哈市财建【2023】79号</w:t>
            </w:r>
          </w:p>
        </w:tc>
        <w:tc>
          <w:tcPr>
            <w:tcW w:w="6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408.72</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eastAsia="仿宋_GB2312"/>
                <w:color w:val="auto"/>
                <w:sz w:val="20"/>
                <w:szCs w:val="20"/>
                <w:highlight w:val="none"/>
                <w:lang w:val="en-US" w:eastAsia="zh-CN"/>
              </w:rPr>
              <w:t>408.72</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1179" w:type="dxa"/>
            <w:vAlign w:val="center"/>
          </w:tcPr>
          <w:p>
            <w:pPr>
              <w:jc w:val="right"/>
              <w:rPr>
                <w:rFonts w:hint="default" w:eastAsiaTheme="minorEastAsia"/>
                <w:lang w:val="en-US" w:eastAsia="zh-CN"/>
              </w:rPr>
            </w:pPr>
          </w:p>
        </w:tc>
        <w:tc>
          <w:tcPr>
            <w:tcW w:w="519" w:type="dxa"/>
            <w:vAlign w:val="center"/>
          </w:tcPr>
          <w:p>
            <w:pPr>
              <w:jc w:val="right"/>
              <w:rPr>
                <w:rFonts w:ascii="仿宋_GB2312" w:hAnsi="宋体" w:eastAsia="仿宋_GB2312"/>
                <w:kern w:val="0"/>
                <w:sz w:val="16"/>
                <w:szCs w:val="16"/>
              </w:rPr>
            </w:pPr>
          </w:p>
        </w:tc>
        <w:tc>
          <w:tcPr>
            <w:tcW w:w="730" w:type="dxa"/>
            <w:vAlign w:val="center"/>
          </w:tcPr>
          <w:p>
            <w:pPr>
              <w:jc w:val="center"/>
              <w:rPr>
                <w:rFonts w:ascii="仿宋_GB2312" w:hAnsi="宋体" w:eastAsia="仿宋_GB2312"/>
                <w:kern w:val="0"/>
                <w:sz w:val="16"/>
                <w:szCs w:val="16"/>
              </w:rPr>
            </w:pPr>
          </w:p>
        </w:tc>
        <w:tc>
          <w:tcPr>
            <w:tcW w:w="730" w:type="dxa"/>
            <w:vAlign w:val="center"/>
          </w:tcPr>
          <w:p>
            <w:pPr>
              <w:jc w:val="right"/>
              <w:rPr>
                <w:rFonts w:hint="default"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408.72</w:t>
            </w: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214</w:t>
            </w:r>
          </w:p>
        </w:tc>
        <w:tc>
          <w:tcPr>
            <w:tcW w:w="308"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64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99</w:t>
            </w: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其他交通运输支出</w:t>
            </w:r>
          </w:p>
        </w:tc>
        <w:tc>
          <w:tcPr>
            <w:tcW w:w="2055"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关于预拨2023年度农村客运补贴资金及城市交通发展奖励资金预算的通知+哈市财建【2023】79号</w:t>
            </w:r>
          </w:p>
        </w:tc>
        <w:tc>
          <w:tcPr>
            <w:tcW w:w="6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1</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p>
        </w:tc>
        <w:tc>
          <w:tcPr>
            <w:tcW w:w="1179" w:type="dxa"/>
            <w:vAlign w:val="center"/>
          </w:tcPr>
          <w:p>
            <w:pPr>
              <w:jc w:val="right"/>
              <w:rPr>
                <w:rFonts w:hint="default" w:eastAsiaTheme="minorEastAsia"/>
                <w:lang w:val="en-US" w:eastAsia="zh-CN"/>
              </w:rPr>
            </w:pP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hint="eastAsia"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1</w:t>
            </w: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jc w:val="center"/>
        </w:trPr>
        <w:tc>
          <w:tcPr>
            <w:tcW w:w="438" w:type="dxa"/>
            <w:vAlign w:val="center"/>
          </w:tcPr>
          <w:p>
            <w:pPr>
              <w:jc w:val="left"/>
              <w:rPr>
                <w:rFonts w:hint="eastAsia" w:ascii="仿宋_GB2312" w:eastAsia="仿宋_GB2312"/>
                <w:color w:val="auto"/>
                <w:sz w:val="20"/>
                <w:szCs w:val="20"/>
                <w:highlight w:val="none"/>
                <w:lang w:val="en-US" w:eastAsia="zh-CN"/>
              </w:rPr>
            </w:pPr>
          </w:p>
        </w:tc>
        <w:tc>
          <w:tcPr>
            <w:tcW w:w="308" w:type="dxa"/>
            <w:vAlign w:val="center"/>
          </w:tcPr>
          <w:p>
            <w:pPr>
              <w:jc w:val="left"/>
              <w:rPr>
                <w:rFonts w:hint="eastAsia" w:ascii="仿宋_GB2312" w:eastAsia="仿宋_GB2312"/>
                <w:color w:val="auto"/>
                <w:sz w:val="20"/>
                <w:szCs w:val="20"/>
                <w:highlight w:val="none"/>
                <w:lang w:val="en-US" w:eastAsia="zh-CN"/>
              </w:rPr>
            </w:pPr>
          </w:p>
        </w:tc>
        <w:tc>
          <w:tcPr>
            <w:tcW w:w="645" w:type="dxa"/>
            <w:vAlign w:val="center"/>
          </w:tcPr>
          <w:p>
            <w:pPr>
              <w:jc w:val="left"/>
              <w:rPr>
                <w:rFonts w:hint="eastAsia" w:ascii="仿宋_GB2312" w:eastAsia="仿宋_GB2312"/>
                <w:color w:val="auto"/>
                <w:sz w:val="20"/>
                <w:szCs w:val="20"/>
                <w:highlight w:val="none"/>
                <w:lang w:val="en-US" w:eastAsia="zh-CN"/>
              </w:rPr>
            </w:pPr>
          </w:p>
        </w:tc>
        <w:tc>
          <w:tcPr>
            <w:tcW w:w="2220" w:type="dxa"/>
            <w:vAlign w:val="center"/>
          </w:tcPr>
          <w:p>
            <w:pPr>
              <w:jc w:val="lef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合计</w:t>
            </w:r>
          </w:p>
        </w:tc>
        <w:tc>
          <w:tcPr>
            <w:tcW w:w="2055" w:type="dxa"/>
            <w:vAlign w:val="center"/>
          </w:tcPr>
          <w:p>
            <w:pPr>
              <w:jc w:val="left"/>
              <w:rPr>
                <w:rFonts w:hint="eastAsia" w:ascii="仿宋_GB2312" w:eastAsia="仿宋_GB2312"/>
                <w:color w:val="auto"/>
                <w:sz w:val="20"/>
                <w:szCs w:val="20"/>
                <w:highlight w:val="none"/>
                <w:lang w:val="en-US" w:eastAsia="zh-CN"/>
              </w:rPr>
            </w:pPr>
          </w:p>
        </w:tc>
        <w:tc>
          <w:tcPr>
            <w:tcW w:w="675"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2,906.85</w:t>
            </w:r>
          </w:p>
        </w:tc>
        <w:tc>
          <w:tcPr>
            <w:tcW w:w="630" w:type="dxa"/>
            <w:vAlign w:val="center"/>
          </w:tcPr>
          <w:p>
            <w:pPr>
              <w:jc w:val="right"/>
              <w:rPr>
                <w:rFonts w:hint="default" w:ascii="仿宋_GB2312" w:hAnsi="宋体" w:eastAsia="仿宋_GB2312" w:cs="宋体"/>
                <w:kern w:val="0"/>
                <w:sz w:val="16"/>
                <w:szCs w:val="16"/>
                <w:lang w:val="en-US" w:eastAsia="zh-CN"/>
              </w:rPr>
            </w:pPr>
            <w:r>
              <w:rPr>
                <w:rFonts w:hint="eastAsia" w:ascii="仿宋_GB2312" w:hAnsi="宋体" w:eastAsia="仿宋_GB2312" w:cs="宋体"/>
                <w:kern w:val="0"/>
                <w:sz w:val="16"/>
                <w:szCs w:val="16"/>
                <w:lang w:val="en-US" w:eastAsia="zh-CN"/>
              </w:rPr>
              <w:t>3146.85</w:t>
            </w:r>
          </w:p>
        </w:tc>
        <w:tc>
          <w:tcPr>
            <w:tcW w:w="744" w:type="dxa"/>
            <w:vAlign w:val="center"/>
          </w:tcPr>
          <w:p>
            <w:pPr>
              <w:jc w:val="right"/>
              <w:rPr>
                <w:rFonts w:ascii="仿宋_GB2312" w:hAnsi="宋体" w:eastAsia="仿宋_GB2312"/>
                <w:kern w:val="0"/>
                <w:sz w:val="16"/>
                <w:szCs w:val="16"/>
              </w:rPr>
            </w:pPr>
          </w:p>
        </w:tc>
        <w:tc>
          <w:tcPr>
            <w:tcW w:w="931" w:type="dxa"/>
            <w:vAlign w:val="center"/>
          </w:tcPr>
          <w:p>
            <w:pPr>
              <w:jc w:val="right"/>
            </w:pPr>
          </w:p>
        </w:tc>
        <w:tc>
          <w:tcPr>
            <w:tcW w:w="931" w:type="dxa"/>
            <w:vAlign w:val="center"/>
          </w:tcPr>
          <w:p>
            <w:pPr>
              <w:jc w:val="right"/>
              <w:rPr>
                <w:rFonts w:ascii="仿宋_GB2312" w:hAnsi="宋体" w:eastAsia="仿宋_GB2312"/>
                <w:kern w:val="0"/>
                <w:sz w:val="16"/>
                <w:szCs w:val="16"/>
              </w:rPr>
            </w:pPr>
          </w:p>
        </w:tc>
        <w:tc>
          <w:tcPr>
            <w:tcW w:w="932" w:type="dxa"/>
            <w:vAlign w:val="center"/>
          </w:tcPr>
          <w:p>
            <w:pPr>
              <w:jc w:val="right"/>
              <w:rPr>
                <w:rFonts w:hint="eastAsia"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756.00</w:t>
            </w:r>
          </w:p>
        </w:tc>
        <w:tc>
          <w:tcPr>
            <w:tcW w:w="1179" w:type="dxa"/>
            <w:vAlign w:val="center"/>
          </w:tcPr>
          <w:p>
            <w:pPr>
              <w:jc w:val="right"/>
              <w:rPr>
                <w:rFonts w:hint="default" w:eastAsiaTheme="minorEastAsia"/>
                <w:lang w:val="en-US" w:eastAsia="zh-CN"/>
              </w:rPr>
            </w:pPr>
            <w:r>
              <w:rPr>
                <w:rFonts w:hint="eastAsia" w:ascii="仿宋_GB2312" w:eastAsia="仿宋_GB2312"/>
                <w:color w:val="auto"/>
                <w:sz w:val="20"/>
                <w:szCs w:val="20"/>
                <w:highlight w:val="none"/>
                <w:lang w:val="en-US" w:eastAsia="zh-CN"/>
              </w:rPr>
              <w:t>1981.13</w:t>
            </w:r>
          </w:p>
        </w:tc>
        <w:tc>
          <w:tcPr>
            <w:tcW w:w="519" w:type="dxa"/>
            <w:vAlign w:val="center"/>
          </w:tcPr>
          <w:p>
            <w:pPr>
              <w:jc w:val="right"/>
              <w:rPr>
                <w:rFonts w:ascii="仿宋_GB2312" w:hAnsi="宋体" w:eastAsia="仿宋_GB2312"/>
                <w:kern w:val="0"/>
                <w:sz w:val="16"/>
                <w:szCs w:val="16"/>
              </w:rPr>
            </w:pPr>
          </w:p>
        </w:tc>
        <w:tc>
          <w:tcPr>
            <w:tcW w:w="730" w:type="dxa"/>
            <w:vAlign w:val="center"/>
          </w:tcPr>
          <w:p>
            <w:pPr>
              <w:jc w:val="right"/>
              <w:rPr>
                <w:rFonts w:ascii="仿宋_GB2312" w:hAnsi="宋体" w:eastAsia="仿宋_GB2312"/>
                <w:kern w:val="0"/>
                <w:sz w:val="16"/>
                <w:szCs w:val="16"/>
              </w:rPr>
            </w:pPr>
          </w:p>
        </w:tc>
        <w:tc>
          <w:tcPr>
            <w:tcW w:w="730" w:type="dxa"/>
            <w:vAlign w:val="center"/>
          </w:tcPr>
          <w:p>
            <w:pPr>
              <w:jc w:val="right"/>
              <w:rPr>
                <w:rFonts w:hint="eastAsia" w:ascii="仿宋_GB2312" w:hAnsi="宋体" w:eastAsia="仿宋_GB2312"/>
                <w:kern w:val="0"/>
                <w:sz w:val="16"/>
                <w:szCs w:val="16"/>
                <w:lang w:val="en-US" w:eastAsia="zh-CN"/>
              </w:rPr>
            </w:pPr>
            <w:r>
              <w:rPr>
                <w:rFonts w:hint="eastAsia" w:ascii="仿宋_GB2312" w:hAnsi="宋体" w:eastAsia="仿宋_GB2312"/>
                <w:kern w:val="0"/>
                <w:sz w:val="16"/>
                <w:szCs w:val="16"/>
                <w:lang w:val="en-US" w:eastAsia="zh-CN"/>
              </w:rPr>
              <w:t>409.72</w:t>
            </w:r>
          </w:p>
        </w:tc>
        <w:tc>
          <w:tcPr>
            <w:tcW w:w="731" w:type="dxa"/>
            <w:vAlign w:val="center"/>
          </w:tcPr>
          <w:p>
            <w:pPr>
              <w:jc w:val="right"/>
              <w:rPr>
                <w:rFonts w:ascii="仿宋_GB2312" w:hAnsi="宋体" w:eastAsia="仿宋_GB2312"/>
                <w:kern w:val="0"/>
                <w:sz w:val="16"/>
                <w:szCs w:val="16"/>
              </w:rPr>
            </w:pPr>
          </w:p>
        </w:tc>
        <w:tc>
          <w:tcPr>
            <w:tcW w:w="731" w:type="dxa"/>
            <w:vAlign w:val="center"/>
          </w:tcPr>
          <w:p>
            <w:pPr>
              <w:jc w:val="left"/>
              <w:rPr>
                <w:rFonts w:hint="eastAsia" w:ascii="仿宋_GB2312" w:eastAsia="仿宋_GB2312"/>
                <w:color w:val="auto"/>
                <w:sz w:val="20"/>
                <w:szCs w:val="20"/>
                <w:highlight w:val="none"/>
                <w:lang w:val="en-US" w:eastAsia="zh-CN"/>
              </w:rPr>
            </w:pPr>
          </w:p>
        </w:tc>
      </w:tr>
    </w:tbl>
    <w:p>
      <w:pPr>
        <w:rPr>
          <w:rFonts w:hint="eastAsia" w:ascii="仿宋_GB2312" w:hAnsi="仿宋_GB2312" w:eastAsia="仿宋_GB2312" w:cs="仿宋_GB2312"/>
          <w:spacing w:val="18"/>
          <w:sz w:val="32"/>
          <w:szCs w:val="32"/>
          <w:lang w:val="en-US" w:eastAsia="zh-CN"/>
        </w:rPr>
        <w:sectPr>
          <w:pgSz w:w="16838" w:h="11906" w:orient="landscape"/>
          <w:pgMar w:top="1800" w:right="1440" w:bottom="1800" w:left="1440" w:header="851" w:footer="992" w:gutter="0"/>
          <w:cols w:space="425" w:num="1"/>
          <w:docGrid w:type="lines" w:linePitch="312" w:charSpace="0"/>
        </w:sectPr>
      </w:pPr>
    </w:p>
    <w:p>
      <w:pPr>
        <w:rPr>
          <w:rFonts w:hint="eastAsia" w:ascii="仿宋_GB2312" w:hAnsi="仿宋_GB2312" w:eastAsia="仿宋_GB2312" w:cs="仿宋_GB2312"/>
          <w:spacing w:val="18"/>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10779" w:type="dxa"/>
        <w:jc w:val="center"/>
        <w:tblInd w:w="-16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56"/>
        <w:gridCol w:w="1680"/>
        <w:gridCol w:w="1408"/>
        <w:gridCol w:w="795"/>
        <w:gridCol w:w="828"/>
        <w:gridCol w:w="659"/>
        <w:gridCol w:w="885"/>
        <w:gridCol w:w="1690"/>
        <w:gridCol w:w="19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6" w:hRule="atLeast"/>
          <w:jc w:val="center"/>
        </w:trPr>
        <w:tc>
          <w:tcPr>
            <w:tcW w:w="10779"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97" w:hRule="atLeast"/>
          <w:jc w:val="center"/>
        </w:trPr>
        <w:tc>
          <w:tcPr>
            <w:tcW w:w="10779"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5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8243"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哈密市伊州区交通运输局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5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3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G312与八一北路平交路口至G312与三乡学校平交路口段沿线出行项目</w:t>
            </w: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66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郭宾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5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150</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150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66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jc w:val="center"/>
        </w:trPr>
        <w:tc>
          <w:tcPr>
            <w:tcW w:w="253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8243"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通过开展G312线石油基地-火石泉段道路优化工程，对平面交叉口段增设交通安全设施，安装交通信号灯及电子警察、规划道路标识等，进一步保障道路安全、居民安全便捷出行。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68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40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5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8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9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97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产出指标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新建道路标识牌数量</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124块</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新建交通信号灯数量</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4组</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修整线外便道</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6处</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质量指标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工程验收合格率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时效指标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工程开工及时率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525"/>
              </w:tabs>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时效指标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工程开工及时率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kern w:val="2"/>
                <w:sz w:val="15"/>
                <w:szCs w:val="15"/>
                <w:lang w:val="en-US" w:eastAsia="zh-CN" w:bidi="ar-SA"/>
              </w:rPr>
            </w:pPr>
            <w:r>
              <w:rPr>
                <w:rFonts w:hint="eastAsia" w:asciiTheme="minorEastAsia" w:hAnsiTheme="minorEastAsia" w:eastAsiaTheme="minorEastAsia" w:cstheme="minorEastAsia"/>
                <w:kern w:val="2"/>
                <w:sz w:val="15"/>
                <w:szCs w:val="15"/>
                <w:lang w:val="en-US" w:eastAsia="zh-CN" w:bidi="ar-SA"/>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经济成本指标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增加平交道口红绿灯及标识标牌费用</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≤150万元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预算支出标准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20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社会成本指标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生态环境成本指标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经济效益指标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道路交通违法行为查处提高率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10%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社会效益指标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群众出行方便率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85%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生态效益指标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当地群众满意度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98%</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满意度赋分</w:t>
            </w:r>
          </w:p>
        </w:tc>
        <w:tc>
          <w:tcPr>
            <w:tcW w:w="197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bl>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10208" w:type="dxa"/>
        <w:jc w:val="center"/>
        <w:tblInd w:w="-16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56"/>
        <w:gridCol w:w="1357"/>
        <w:gridCol w:w="1731"/>
        <w:gridCol w:w="795"/>
        <w:gridCol w:w="828"/>
        <w:gridCol w:w="659"/>
        <w:gridCol w:w="885"/>
        <w:gridCol w:w="1690"/>
        <w:gridCol w:w="1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6" w:hRule="atLeast"/>
          <w:jc w:val="center"/>
        </w:trPr>
        <w:tc>
          <w:tcPr>
            <w:tcW w:w="10208"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97" w:hRule="atLeast"/>
          <w:jc w:val="center"/>
        </w:trPr>
        <w:tc>
          <w:tcPr>
            <w:tcW w:w="10208"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99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哈密市伊州区交通运输局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农村公路日常养护经费</w:t>
            </w: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苏浩君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50</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50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99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通过开展伊州区境内Y022乡道路农村公路路基防护、路面病害修补等工程，保障农村公路服务质量，提升村民出行条件。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5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173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5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8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9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40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产出指标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15"/>
                <w:szCs w:val="15"/>
                <w:u w:val="none"/>
              </w:rPr>
            </w:pPr>
            <w:r>
              <w:rPr>
                <w:rFonts w:hint="eastAsia" w:asciiTheme="minorEastAsia" w:hAnsiTheme="minorEastAsia" w:eastAsiaTheme="minorEastAsia" w:cstheme="minorEastAsia"/>
                <w:i w:val="0"/>
                <w:color w:val="auto"/>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auto"/>
                <w:sz w:val="15"/>
                <w:szCs w:val="15"/>
                <w:u w:val="none"/>
                <w:lang w:val="en-US" w:eastAsia="zh-CN"/>
              </w:rPr>
            </w:pPr>
            <w:r>
              <w:rPr>
                <w:rFonts w:hint="eastAsia" w:asciiTheme="minorEastAsia" w:hAnsiTheme="minorEastAsia" w:cstheme="minorEastAsia"/>
                <w:i w:val="0"/>
                <w:color w:val="auto"/>
                <w:sz w:val="15"/>
                <w:szCs w:val="15"/>
                <w:u w:val="none"/>
                <w:lang w:val="en-US" w:eastAsia="zh-CN"/>
              </w:rPr>
              <w:t>农村公路养护里程</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28公里</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农村公路养护基数标准达标率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农村公路验收合格率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质量指标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时效指标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农村公路养护</w:t>
            </w:r>
            <w:r>
              <w:rPr>
                <w:rFonts w:hint="eastAsia" w:asciiTheme="minorEastAsia" w:hAnsiTheme="minorEastAsia" w:eastAsiaTheme="minorEastAsia" w:cstheme="minorEastAsia"/>
                <w:i w:val="0"/>
                <w:color w:val="000000"/>
                <w:sz w:val="15"/>
                <w:szCs w:val="15"/>
                <w:u w:val="none"/>
                <w:lang w:val="en-US" w:eastAsia="zh-CN"/>
              </w:rPr>
              <w:t>工程开工及时率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525"/>
              </w:tabs>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时效指标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cstheme="minorEastAsia"/>
                <w:i w:val="0"/>
                <w:color w:val="000000"/>
                <w:sz w:val="15"/>
                <w:szCs w:val="15"/>
                <w:u w:val="none"/>
                <w:lang w:val="en-US" w:eastAsia="zh-CN"/>
              </w:rPr>
              <w:t>农村公路养护</w:t>
            </w:r>
            <w:r>
              <w:rPr>
                <w:rFonts w:hint="eastAsia" w:asciiTheme="minorEastAsia" w:hAnsiTheme="minorEastAsia" w:eastAsiaTheme="minorEastAsia" w:cstheme="minorEastAsia"/>
                <w:i w:val="0"/>
                <w:color w:val="000000"/>
                <w:sz w:val="15"/>
                <w:szCs w:val="15"/>
                <w:u w:val="none"/>
                <w:lang w:val="en-US" w:eastAsia="zh-CN"/>
              </w:rPr>
              <w:t>工程开工及时率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kern w:val="2"/>
                <w:sz w:val="15"/>
                <w:szCs w:val="15"/>
                <w:lang w:val="en-US" w:eastAsia="zh-CN" w:bidi="ar-SA"/>
              </w:rPr>
            </w:pPr>
            <w:r>
              <w:rPr>
                <w:rFonts w:hint="eastAsia" w:asciiTheme="minorEastAsia" w:hAnsiTheme="minorEastAsia" w:eastAsiaTheme="minorEastAsia" w:cstheme="minorEastAsia"/>
                <w:kern w:val="2"/>
                <w:sz w:val="15"/>
                <w:szCs w:val="15"/>
                <w:lang w:val="en-US" w:eastAsia="zh-CN" w:bidi="ar-SA"/>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成本指标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经济成本指标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建筑安装工程费</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r>
              <w:rPr>
                <w:rFonts w:hint="eastAsia" w:asciiTheme="minorEastAsia" w:hAnsiTheme="minorEastAsia" w:cstheme="minorEastAsia"/>
                <w:i w:val="0"/>
                <w:color w:val="000000"/>
                <w:sz w:val="15"/>
                <w:szCs w:val="15"/>
                <w:u w:val="none"/>
                <w:lang w:val="en-US" w:eastAsia="zh-CN"/>
              </w:rPr>
              <w:t>46.36</w:t>
            </w:r>
            <w:r>
              <w:rPr>
                <w:rFonts w:hint="eastAsia" w:asciiTheme="minorEastAsia" w:hAnsiTheme="minorEastAsia" w:eastAsiaTheme="minorEastAsia" w:cstheme="minorEastAsia"/>
                <w:i w:val="0"/>
                <w:color w:val="000000"/>
                <w:sz w:val="15"/>
                <w:szCs w:val="15"/>
                <w:u w:val="none"/>
                <w:lang w:val="en-US" w:eastAsia="zh-CN"/>
              </w:rPr>
              <w:t>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预算支出标准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经济成本指标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工程建设其他费用</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r>
              <w:rPr>
                <w:rFonts w:hint="eastAsia" w:asciiTheme="minorEastAsia" w:hAnsiTheme="minorEastAsia" w:cstheme="minorEastAsia"/>
                <w:i w:val="0"/>
                <w:color w:val="000000"/>
                <w:sz w:val="15"/>
                <w:szCs w:val="15"/>
                <w:u w:val="none"/>
                <w:lang w:val="en-US" w:eastAsia="zh-CN"/>
              </w:rPr>
              <w:t>2.19</w:t>
            </w:r>
            <w:r>
              <w:rPr>
                <w:rFonts w:hint="eastAsia" w:asciiTheme="minorEastAsia" w:hAnsiTheme="minorEastAsia" w:eastAsiaTheme="minorEastAsia" w:cstheme="minorEastAsia"/>
                <w:i w:val="0"/>
                <w:color w:val="000000"/>
                <w:sz w:val="15"/>
                <w:szCs w:val="15"/>
                <w:u w:val="none"/>
                <w:lang w:val="en-US" w:eastAsia="zh-CN"/>
              </w:rPr>
              <w:t>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预算支出标准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经济成本指标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项目预备费</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r>
              <w:rPr>
                <w:rFonts w:hint="eastAsia" w:asciiTheme="minorEastAsia" w:hAnsiTheme="minorEastAsia" w:cstheme="minorEastAsia"/>
                <w:i w:val="0"/>
                <w:color w:val="000000"/>
                <w:sz w:val="15"/>
                <w:szCs w:val="15"/>
                <w:u w:val="none"/>
                <w:lang w:val="en-US" w:eastAsia="zh-CN"/>
              </w:rPr>
              <w:t>1.45</w:t>
            </w:r>
            <w:r>
              <w:rPr>
                <w:rFonts w:hint="eastAsia" w:asciiTheme="minorEastAsia" w:hAnsiTheme="minorEastAsia" w:eastAsiaTheme="minorEastAsia" w:cstheme="minorEastAsia"/>
                <w:i w:val="0"/>
                <w:color w:val="000000"/>
                <w:sz w:val="15"/>
                <w:szCs w:val="15"/>
                <w:u w:val="none"/>
                <w:lang w:val="en-US" w:eastAsia="zh-CN"/>
              </w:rPr>
              <w:t>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预算支出标准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生态环境成本指标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效益指标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经济效益指标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384"/>
              </w:tabs>
              <w:rPr>
                <w:rFonts w:hint="eastAsia" w:asciiTheme="minorEastAsia" w:hAnsiTheme="minorEastAsia" w:eastAsiaTheme="minorEastAsia" w:cstheme="minorEastAsia"/>
                <w:i w:val="0"/>
                <w:color w:val="000000"/>
                <w:sz w:val="15"/>
                <w:szCs w:val="15"/>
                <w:u w:val="none"/>
                <w:lang w:val="en-US" w:eastAsia="zh-CN"/>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提高村民出行率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显著提升</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rPr>
            </w:pPr>
            <w:r>
              <w:rPr>
                <w:rFonts w:hint="eastAsia" w:asciiTheme="minorEastAsia" w:hAnsiTheme="minorEastAsia" w:cstheme="minorEastAsia"/>
                <w:i w:val="0"/>
                <w:color w:val="000000"/>
                <w:sz w:val="15"/>
                <w:szCs w:val="15"/>
                <w:u w:val="none"/>
                <w:lang w:val="en-US" w:eastAsia="zh-CN"/>
              </w:rPr>
              <w:t>20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w:t>
            </w:r>
            <w:r>
              <w:rPr>
                <w:rFonts w:hint="eastAsia" w:asciiTheme="minorEastAsia" w:hAnsiTheme="minorEastAsia" w:cstheme="minorEastAsia"/>
                <w:i w:val="0"/>
                <w:color w:val="000000"/>
                <w:sz w:val="15"/>
                <w:szCs w:val="15"/>
                <w:u w:val="none"/>
                <w:lang w:val="en-US" w:eastAsia="zh-CN"/>
              </w:rPr>
              <w:t>评判等级</w:t>
            </w:r>
            <w:r>
              <w:rPr>
                <w:rFonts w:hint="eastAsia" w:asciiTheme="minorEastAsia" w:hAnsiTheme="minorEastAsia" w:eastAsiaTheme="minorEastAsia" w:cstheme="minorEastAsia"/>
                <w:i w:val="0"/>
                <w:color w:val="000000"/>
                <w:sz w:val="15"/>
                <w:szCs w:val="15"/>
                <w:u w:val="none"/>
                <w:lang w:val="en-US" w:eastAsia="zh-CN"/>
              </w:rPr>
              <w:t>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cstheme="minorEastAsia"/>
                <w:i w:val="0"/>
                <w:color w:val="000000"/>
                <w:sz w:val="15"/>
                <w:szCs w:val="15"/>
                <w:u w:val="none"/>
                <w:lang w:val="en-US" w:eastAsia="zh-CN"/>
              </w:rPr>
              <w:t>村民</w:t>
            </w:r>
            <w:r>
              <w:rPr>
                <w:rFonts w:hint="eastAsia" w:asciiTheme="minorEastAsia" w:hAnsiTheme="minorEastAsia" w:eastAsiaTheme="minorEastAsia" w:cstheme="minorEastAsia"/>
                <w:i w:val="0"/>
                <w:color w:val="000000"/>
                <w:sz w:val="15"/>
                <w:szCs w:val="15"/>
                <w:u w:val="none"/>
              </w:rPr>
              <w:t>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98%</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满意度赋分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w:t>
            </w:r>
          </w:p>
        </w:tc>
      </w:tr>
    </w:tbl>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18"/>
          <w:sz w:val="32"/>
          <w:szCs w:val="32"/>
          <w:lang w:val="en-US" w:eastAsia="zh-CN"/>
        </w:rPr>
      </w:pPr>
      <w:r>
        <w:rPr>
          <w:rFonts w:hint="eastAsia" w:ascii="仿宋_GB2312" w:hAnsi="仿宋_GB2312" w:eastAsia="仿宋_GB2312" w:cs="仿宋_GB2312"/>
          <w:spacing w:val="18"/>
          <w:sz w:val="32"/>
          <w:szCs w:val="32"/>
          <w:lang w:val="en-US" w:eastAsia="zh-CN"/>
        </w:rPr>
        <w:t>附件二</w:t>
      </w:r>
    </w:p>
    <w:tbl>
      <w:tblPr>
        <w:tblStyle w:val="3"/>
        <w:tblW w:w="10208" w:type="dxa"/>
        <w:jc w:val="center"/>
        <w:tblInd w:w="-16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56"/>
        <w:gridCol w:w="1357"/>
        <w:gridCol w:w="1731"/>
        <w:gridCol w:w="795"/>
        <w:gridCol w:w="828"/>
        <w:gridCol w:w="659"/>
        <w:gridCol w:w="885"/>
        <w:gridCol w:w="1690"/>
        <w:gridCol w:w="14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6" w:hRule="atLeast"/>
          <w:jc w:val="center"/>
        </w:trPr>
        <w:tc>
          <w:tcPr>
            <w:tcW w:w="10208"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97" w:hRule="atLeast"/>
          <w:jc w:val="center"/>
        </w:trPr>
        <w:tc>
          <w:tcPr>
            <w:tcW w:w="10208"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995"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哈密市伊州区交通运输局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伊州区农村公路技术状况普查评定经费</w:t>
            </w:r>
          </w:p>
        </w:tc>
        <w:tc>
          <w:tcPr>
            <w:tcW w:w="154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30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苏浩君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40</w:t>
            </w:r>
          </w:p>
        </w:tc>
        <w:tc>
          <w:tcPr>
            <w:tcW w:w="828" w:type="dxa"/>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40</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30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jc w:val="center"/>
        </w:trPr>
        <w:tc>
          <w:tcPr>
            <w:tcW w:w="221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995" w:type="dxa"/>
            <w:gridSpan w:val="7"/>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top"/>
          </w:tcPr>
          <w:p>
            <w:pPr>
              <w:jc w:val="center"/>
              <w:rPr>
                <w:rFonts w:hint="eastAsia" w:ascii="宋体" w:hAnsi="宋体" w:eastAsia="宋体" w:cs="宋体"/>
                <w:i w:val="0"/>
                <w:color w:val="000000"/>
                <w:sz w:val="18"/>
                <w:szCs w:val="18"/>
                <w:u w:val="none"/>
              </w:rPr>
            </w:pPr>
            <w:r>
              <w:rPr>
                <w:rFonts w:hint="eastAsia" w:ascii="宋体" w:hAnsi="宋体" w:eastAsia="宋体" w:cs="宋体"/>
                <w:i w:val="0"/>
                <w:caps w:val="0"/>
                <w:color w:val="333333"/>
                <w:spacing w:val="0"/>
                <w:sz w:val="18"/>
                <w:szCs w:val="18"/>
                <w:shd w:val="clear" w:fill="FFFFFF"/>
              </w:rPr>
              <w:t>通过开展伊州区农村公路技术状况普查评定工作，准确摸清我区农村公路网路面技术状况底数，为农村公路养护管理重大决策提供数据支持。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35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1731"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7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28"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659"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88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690"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407"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产出指标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auto"/>
                <w:sz w:val="15"/>
                <w:szCs w:val="15"/>
                <w:u w:val="none"/>
              </w:rPr>
            </w:pPr>
            <w:r>
              <w:rPr>
                <w:rFonts w:hint="eastAsia" w:asciiTheme="minorEastAsia" w:hAnsiTheme="minorEastAsia" w:eastAsiaTheme="minorEastAsia" w:cstheme="minorEastAsia"/>
                <w:i w:val="0"/>
                <w:color w:val="auto"/>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auto"/>
                <w:sz w:val="15"/>
                <w:szCs w:val="15"/>
                <w:u w:val="none"/>
                <w:lang w:val="en-US" w:eastAsia="zh-CN"/>
              </w:rPr>
            </w:pPr>
            <w:r>
              <w:rPr>
                <w:rFonts w:hint="eastAsia" w:asciiTheme="minorEastAsia" w:hAnsiTheme="minorEastAsia" w:cstheme="minorEastAsia"/>
                <w:i w:val="0"/>
                <w:color w:val="auto"/>
                <w:sz w:val="15"/>
                <w:szCs w:val="15"/>
                <w:u w:val="none"/>
                <w:lang w:val="en-US" w:eastAsia="zh-CN"/>
              </w:rPr>
              <w:t>村道技术状况普查评定里程</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1807.67公里</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auto"/>
                <w:sz w:val="15"/>
                <w:szCs w:val="15"/>
                <w:u w:val="none"/>
                <w:lang w:val="en-US" w:eastAsia="zh-CN"/>
              </w:rPr>
              <w:t>县道技术状况普查评定里程</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896.4公里</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数量指标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auto"/>
                <w:sz w:val="15"/>
                <w:szCs w:val="15"/>
                <w:u w:val="none"/>
                <w:lang w:val="en-US" w:eastAsia="zh-CN"/>
              </w:rPr>
              <w:t>乡道技术状况普查评定里程</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cstheme="minorEastAsia"/>
                <w:i w:val="0"/>
                <w:color w:val="000000"/>
                <w:sz w:val="15"/>
                <w:szCs w:val="15"/>
                <w:u w:val="none"/>
                <w:lang w:val="en-US" w:eastAsia="zh-CN"/>
              </w:rPr>
              <w:t>1083.92公里</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质量指标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村道路面技术状况自动化检测占比率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default" w:ascii="Arial" w:hAnsi="Arial" w:cs="Arial" w:eastAsiaTheme="minorEastAsia"/>
                <w:i w:val="0"/>
                <w:color w:val="000000"/>
                <w:sz w:val="15"/>
                <w:szCs w:val="15"/>
                <w:u w:val="none"/>
                <w:lang w:val="en-US" w:eastAsia="zh-CN"/>
              </w:rPr>
              <w:t>≥</w:t>
            </w:r>
            <w:r>
              <w:rPr>
                <w:rFonts w:hint="eastAsia" w:asciiTheme="minorEastAsia" w:hAnsiTheme="minorEastAsia" w:cstheme="minorEastAsia"/>
                <w:i w:val="0"/>
                <w:color w:val="000000"/>
                <w:sz w:val="15"/>
                <w:szCs w:val="15"/>
                <w:u w:val="none"/>
                <w:lang w:val="en-US" w:eastAsia="zh-CN"/>
              </w:rPr>
              <w:t>80%</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lang w:val="en-US" w:eastAsia="zh-CN"/>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cstheme="minorEastAsia"/>
                <w:i w:val="0"/>
                <w:color w:val="000000"/>
                <w:kern w:val="0"/>
                <w:sz w:val="15"/>
                <w:szCs w:val="15"/>
                <w:u w:val="none"/>
                <w:lang w:val="en-US" w:eastAsia="zh-CN" w:bidi="ar"/>
              </w:rPr>
              <w:t>质量指标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技术状况普查评定覆盖率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时效指标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技术状况普查评定完工及时率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525"/>
              </w:tabs>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5</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15"/>
                <w:szCs w:val="15"/>
                <w:u w:val="none"/>
                <w:lang w:val="en-US" w:eastAsia="zh-CN" w:bidi="ar"/>
              </w:rPr>
            </w:pPr>
            <w:r>
              <w:rPr>
                <w:rFonts w:hint="eastAsia" w:asciiTheme="minorEastAsia" w:hAnsiTheme="minorEastAsia" w:eastAsiaTheme="minorEastAsia" w:cstheme="minorEastAsia"/>
                <w:i w:val="0"/>
                <w:color w:val="000000"/>
                <w:kern w:val="0"/>
                <w:sz w:val="15"/>
                <w:szCs w:val="15"/>
                <w:u w:val="none"/>
                <w:lang w:val="en-US" w:eastAsia="zh-CN" w:bidi="ar"/>
              </w:rPr>
              <w:t>经济成本指标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农村公路技术状况普查评定费用</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r>
              <w:rPr>
                <w:rFonts w:hint="eastAsia" w:asciiTheme="minorEastAsia" w:hAnsiTheme="minorEastAsia" w:cstheme="minorEastAsia"/>
                <w:i w:val="0"/>
                <w:color w:val="000000"/>
                <w:sz w:val="15"/>
                <w:szCs w:val="15"/>
                <w:u w:val="none"/>
                <w:lang w:val="en-US" w:eastAsia="zh-CN"/>
              </w:rPr>
              <w:t>40</w:t>
            </w:r>
            <w:r>
              <w:rPr>
                <w:rFonts w:hint="eastAsia" w:asciiTheme="minorEastAsia" w:hAnsiTheme="minorEastAsia" w:eastAsiaTheme="minorEastAsia" w:cstheme="minorEastAsia"/>
                <w:i w:val="0"/>
                <w:color w:val="000000"/>
                <w:sz w:val="15"/>
                <w:szCs w:val="15"/>
                <w:u w:val="none"/>
                <w:lang w:val="en-US" w:eastAsia="zh-CN"/>
              </w:rPr>
              <w:t>万元</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预算支出标准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20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按照完成比例赋分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生态环境成本指标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效益指标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经济效益指标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tabs>
                <w:tab w:val="left" w:pos="384"/>
              </w:tabs>
              <w:rPr>
                <w:rFonts w:hint="eastAsia" w:asciiTheme="minorEastAsia" w:hAnsiTheme="minorEastAsia" w:eastAsiaTheme="minorEastAsia" w:cstheme="minorEastAsia"/>
                <w:i w:val="0"/>
                <w:color w:val="000000"/>
                <w:sz w:val="15"/>
                <w:szCs w:val="15"/>
                <w:u w:val="none"/>
                <w:lang w:val="en-US" w:eastAsia="zh-CN"/>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社会效益指标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cstheme="minorEastAsia"/>
                <w:i w:val="0"/>
                <w:color w:val="000000"/>
                <w:sz w:val="15"/>
                <w:szCs w:val="15"/>
                <w:u w:val="none"/>
                <w:lang w:val="en-US" w:eastAsia="zh-CN"/>
              </w:rPr>
              <w:t>农村公路技术状况普查评定准确率</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95%</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heme="minorEastAsia" w:hAnsiTheme="minorEastAsia" w:eastAsiaTheme="minorEastAsia" w:cstheme="minorEastAsia"/>
                <w:i w:val="0"/>
                <w:color w:val="000000"/>
                <w:sz w:val="15"/>
                <w:szCs w:val="15"/>
                <w:u w:val="none"/>
                <w:lang w:val="en-US"/>
              </w:rPr>
            </w:pPr>
            <w:r>
              <w:rPr>
                <w:rFonts w:hint="eastAsia" w:asciiTheme="minorEastAsia" w:hAnsiTheme="minorEastAsia" w:cstheme="minorEastAsia"/>
                <w:i w:val="0"/>
                <w:color w:val="000000"/>
                <w:sz w:val="15"/>
                <w:szCs w:val="15"/>
                <w:u w:val="none"/>
                <w:lang w:val="en-US" w:eastAsia="zh-CN"/>
              </w:rPr>
              <w:t>20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按照</w:t>
            </w:r>
            <w:r>
              <w:rPr>
                <w:rFonts w:hint="eastAsia" w:asciiTheme="minorEastAsia" w:hAnsiTheme="minorEastAsia" w:cstheme="minorEastAsia"/>
                <w:i w:val="0"/>
                <w:color w:val="000000"/>
                <w:sz w:val="15"/>
                <w:szCs w:val="15"/>
                <w:u w:val="none"/>
                <w:lang w:val="en-US" w:eastAsia="zh-CN"/>
              </w:rPr>
              <w:t>评判等级</w:t>
            </w:r>
            <w:r>
              <w:rPr>
                <w:rFonts w:hint="eastAsia" w:asciiTheme="minorEastAsia" w:hAnsiTheme="minorEastAsia" w:eastAsiaTheme="minorEastAsia" w:cstheme="minorEastAsia"/>
                <w:i w:val="0"/>
                <w:color w:val="000000"/>
                <w:sz w:val="15"/>
                <w:szCs w:val="15"/>
                <w:u w:val="none"/>
                <w:lang w:val="en-US" w:eastAsia="zh-CN"/>
              </w:rPr>
              <w:t>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heme="minorEastAsia" w:hAnsiTheme="minorEastAsia" w:eastAsiaTheme="minorEastAsia" w:cstheme="minorEastAsia"/>
                <w:i w:val="0"/>
                <w:color w:val="000000"/>
                <w:sz w:val="15"/>
                <w:szCs w:val="15"/>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生态效益指标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50" w:hRule="atLeast"/>
          <w:jc w:val="center"/>
        </w:trPr>
        <w:tc>
          <w:tcPr>
            <w:tcW w:w="85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35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kern w:val="0"/>
                <w:sz w:val="15"/>
                <w:szCs w:val="15"/>
                <w:u w:val="none"/>
                <w:lang w:val="en-US" w:eastAsia="zh-CN" w:bidi="ar"/>
              </w:rPr>
              <w:t>满意度指标</w:t>
            </w:r>
          </w:p>
        </w:tc>
        <w:tc>
          <w:tcPr>
            <w:tcW w:w="17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cstheme="minorEastAsia"/>
                <w:i w:val="0"/>
                <w:color w:val="000000"/>
                <w:sz w:val="15"/>
                <w:szCs w:val="15"/>
                <w:u w:val="none"/>
                <w:lang w:val="en-US" w:eastAsia="zh-CN"/>
              </w:rPr>
              <w:t>村民</w:t>
            </w:r>
            <w:r>
              <w:rPr>
                <w:rFonts w:hint="eastAsia" w:asciiTheme="minorEastAsia" w:hAnsiTheme="minorEastAsia" w:eastAsiaTheme="minorEastAsia" w:cstheme="minorEastAsia"/>
                <w:i w:val="0"/>
                <w:color w:val="000000"/>
                <w:sz w:val="15"/>
                <w:szCs w:val="15"/>
                <w:u w:val="none"/>
              </w:rPr>
              <w:t>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rPr>
              <w:t>≥</w:t>
            </w:r>
            <w:r>
              <w:rPr>
                <w:rFonts w:hint="eastAsia" w:asciiTheme="minorEastAsia" w:hAnsiTheme="minorEastAsia" w:eastAsiaTheme="minorEastAsia" w:cstheme="minorEastAsia"/>
                <w:i w:val="0"/>
                <w:color w:val="000000"/>
                <w:sz w:val="15"/>
                <w:szCs w:val="15"/>
                <w:u w:val="none"/>
                <w:lang w:val="en-US" w:eastAsia="zh-CN"/>
              </w:rPr>
              <w:t>9</w:t>
            </w:r>
            <w:r>
              <w:rPr>
                <w:rFonts w:hint="eastAsia" w:asciiTheme="minorEastAsia" w:hAnsiTheme="minorEastAsia" w:cstheme="minorEastAsia"/>
                <w:i w:val="0"/>
                <w:color w:val="000000"/>
                <w:sz w:val="15"/>
                <w:szCs w:val="15"/>
                <w:u w:val="none"/>
                <w:lang w:val="en-US" w:eastAsia="zh-CN"/>
              </w:rPr>
              <w:t>5</w:t>
            </w:r>
            <w:r>
              <w:rPr>
                <w:rFonts w:hint="eastAsia" w:asciiTheme="minorEastAsia" w:hAnsiTheme="minorEastAsia" w:eastAsiaTheme="minorEastAsia" w:cstheme="minorEastAsia"/>
                <w:i w:val="0"/>
                <w:color w:val="000000"/>
                <w:sz w:val="15"/>
                <w:szCs w:val="15"/>
                <w:u w:val="none"/>
                <w:lang w:val="en-US" w:eastAsia="zh-CN"/>
              </w:rPr>
              <w:t>%</w:t>
            </w:r>
          </w:p>
        </w:tc>
        <w:tc>
          <w:tcPr>
            <w:tcW w:w="82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计划标准</w:t>
            </w:r>
          </w:p>
        </w:tc>
        <w:tc>
          <w:tcPr>
            <w:tcW w:w="6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10</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lang w:val="en-US" w:eastAsia="zh-CN"/>
              </w:rPr>
            </w:pPr>
            <w:r>
              <w:rPr>
                <w:rFonts w:hint="eastAsia" w:asciiTheme="minorEastAsia" w:hAnsiTheme="minorEastAsia" w:eastAsiaTheme="minorEastAsia" w:cstheme="minorEastAsia"/>
                <w:i w:val="0"/>
                <w:color w:val="000000"/>
                <w:sz w:val="15"/>
                <w:szCs w:val="15"/>
                <w:u w:val="none"/>
                <w:lang w:val="en-US" w:eastAsia="zh-CN"/>
              </w:rPr>
              <w:t>满意度赋分</w:t>
            </w:r>
          </w:p>
        </w:tc>
        <w:tc>
          <w:tcPr>
            <w:tcW w:w="140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eastAsia" w:asciiTheme="minorEastAsia" w:hAnsiTheme="minorEastAsia" w:eastAsiaTheme="minorEastAsia" w:cstheme="minorEastAsia"/>
                <w:i w:val="0"/>
                <w:color w:val="000000"/>
                <w:sz w:val="15"/>
                <w:szCs w:val="15"/>
                <w:u w:val="none"/>
              </w:rPr>
            </w:pPr>
            <w:r>
              <w:rPr>
                <w:rFonts w:hint="eastAsia" w:asciiTheme="minorEastAsia" w:hAnsiTheme="minorEastAsia" w:eastAsiaTheme="minorEastAsia" w:cstheme="minorEastAsia"/>
                <w:i w:val="0"/>
                <w:color w:val="000000"/>
                <w:sz w:val="15"/>
                <w:szCs w:val="15"/>
                <w:u w:val="none"/>
                <w:lang w:val="en-US" w:eastAsia="zh-CN"/>
              </w:rPr>
              <w:t>工作资料</w:t>
            </w:r>
          </w:p>
        </w:tc>
      </w:tr>
    </w:tbl>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p>
      <w:pPr>
        <w:rPr>
          <w:rFonts w:hint="eastAsia" w:asciiTheme="minorEastAsia" w:hAnsiTheme="minorEastAsia" w:eastAsiaTheme="minorEastAsia" w:cstheme="minorEastAsia"/>
          <w:spacing w:val="18"/>
          <w:sz w:val="15"/>
          <w:szCs w:val="15"/>
          <w:lang w:val="en-US" w:eastAsia="zh-CN"/>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uSuan" w:date="2024-06-03T12:31:12Z" w:initials="Y">
    <w:p w14:paraId="05B7218E">
      <w:pPr>
        <w:pStyle w:val="2"/>
        <w:rPr>
          <w:rFonts w:hint="default" w:eastAsiaTheme="minorEastAsia"/>
          <w:lang w:val="en-US" w:eastAsia="zh-CN"/>
        </w:rPr>
      </w:pPr>
      <w:r>
        <w:rPr>
          <w:rFonts w:hint="eastAsia"/>
          <w:lang w:val="en-US" w:eastAsia="zh-CN"/>
        </w:rPr>
        <w:t>年初项目支出总数</w:t>
      </w:r>
    </w:p>
  </w:comment>
  <w:comment w:id="1" w:author="YuSuan" w:date="2024-06-03T12:31:33Z" w:initials="Y">
    <w:p w14:paraId="6C7217B8">
      <w:pPr>
        <w:pStyle w:val="2"/>
        <w:rPr>
          <w:rFonts w:hint="default" w:eastAsiaTheme="minorEastAsia"/>
          <w:lang w:val="en-US" w:eastAsia="zh-CN"/>
        </w:rPr>
      </w:pPr>
      <w:r>
        <w:rPr>
          <w:rFonts w:hint="eastAsia"/>
          <w:lang w:val="en-US" w:eastAsia="zh-CN"/>
        </w:rPr>
        <w:t>调整后金额=年初项目支出数+新增项目支出数+调增项目支出数-调减项目支出数</w:t>
      </w:r>
    </w:p>
  </w:comment>
  <w:comment w:id="2" w:author="YuSuan" w:date="2024-05-24T11:41:58Z" w:initials="Y">
    <w:p w14:paraId="5E5A3B7F">
      <w:pPr>
        <w:pStyle w:val="2"/>
        <w:rPr>
          <w:rFonts w:hint="default" w:eastAsiaTheme="minorEastAsia"/>
          <w:lang w:val="en-US" w:eastAsia="zh-CN"/>
        </w:rPr>
      </w:pPr>
      <w:r>
        <w:rPr>
          <w:rFonts w:hint="eastAsia"/>
          <w:lang w:val="en-US" w:eastAsia="zh-CN"/>
        </w:rPr>
        <w:t>预算单位全称</w:t>
      </w:r>
    </w:p>
  </w:comment>
  <w:comment w:id="3" w:author="YuSuan" w:date="2024-05-24T11:42:42Z" w:initials="Y">
    <w:p w14:paraId="18141EB4">
      <w:pPr>
        <w:pStyle w:val="2"/>
        <w:rPr>
          <w:rFonts w:hint="default" w:eastAsiaTheme="minorEastAsia"/>
          <w:lang w:val="en-US" w:eastAsia="zh-CN"/>
        </w:rPr>
      </w:pPr>
      <w:r>
        <w:rPr>
          <w:rFonts w:hint="eastAsia"/>
          <w:lang w:val="en-US" w:eastAsia="zh-CN"/>
        </w:rPr>
        <w:t>年初项目支出总数</w:t>
      </w:r>
    </w:p>
  </w:comment>
  <w:comment w:id="4" w:author="YuSuan" w:date="2024-05-24T11:42:58Z" w:initials="Y">
    <w:p w14:paraId="193F1D1B">
      <w:pPr>
        <w:pStyle w:val="2"/>
        <w:rPr>
          <w:rFonts w:hint="default" w:eastAsiaTheme="minorEastAsia"/>
          <w:lang w:val="en-US" w:eastAsia="zh-CN"/>
        </w:rPr>
      </w:pPr>
      <w:r>
        <w:rPr>
          <w:rFonts w:hint="eastAsia"/>
          <w:lang w:val="en-US" w:eastAsia="zh-CN"/>
        </w:rPr>
        <w:t>调整后项目支出总数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B7218E" w15:done="0"/>
  <w15:commentEx w15:paraId="6C7217B8" w15:done="0"/>
  <w15:commentEx w15:paraId="5E5A3B7F" w15:done="0"/>
  <w15:commentEx w15:paraId="18141EB4" w15:done="0"/>
  <w15:commentEx w15:paraId="193F1D1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AE5875"/>
    <w:multiLevelType w:val="singleLevel"/>
    <w:tmpl w:val="B7AE5875"/>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uan">
    <w15:presenceInfo w15:providerId="None" w15:userId="YuS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74B53"/>
    <w:rsid w:val="089E7E84"/>
    <w:rsid w:val="09D467AD"/>
    <w:rsid w:val="0A8A3F4F"/>
    <w:rsid w:val="0D9167D9"/>
    <w:rsid w:val="10573940"/>
    <w:rsid w:val="193221E1"/>
    <w:rsid w:val="1E8C3A51"/>
    <w:rsid w:val="1EAC12D1"/>
    <w:rsid w:val="1F945345"/>
    <w:rsid w:val="21733387"/>
    <w:rsid w:val="22AA5687"/>
    <w:rsid w:val="22E65A86"/>
    <w:rsid w:val="24C538F5"/>
    <w:rsid w:val="297156D6"/>
    <w:rsid w:val="29B3235A"/>
    <w:rsid w:val="32423B9F"/>
    <w:rsid w:val="342F31A2"/>
    <w:rsid w:val="392F3E65"/>
    <w:rsid w:val="3F2A1D89"/>
    <w:rsid w:val="407F5426"/>
    <w:rsid w:val="43EB39D1"/>
    <w:rsid w:val="44B94F88"/>
    <w:rsid w:val="4BC00E91"/>
    <w:rsid w:val="4CB90AD9"/>
    <w:rsid w:val="667C1E60"/>
    <w:rsid w:val="6B1525A6"/>
    <w:rsid w:val="6D4F5FF7"/>
    <w:rsid w:val="739F00A3"/>
    <w:rsid w:val="7B501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character" w:customStyle="1" w:styleId="5">
    <w:name w:val="font11"/>
    <w:basedOn w:val="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2024-05-10T03:22:00Z</dcterms:created>
  <dc:creator>YuSuan</dc:creator>
  <cp:lastModifiedBy>YuSuan</cp:lastModifiedBy>
  <dcterms:modified xsi:type="dcterms:W3CDTF">2024-07-11T10:46:41Z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