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spacing w:val="-6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spacing w:val="-6"/>
          <w:kern w:val="0"/>
          <w:sz w:val="44"/>
          <w:szCs w:val="44"/>
        </w:rPr>
        <w:t>中国工农红军西路军进疆纪念馆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项目支出由年初0万元调整为34万元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附件一：中国工农红军西路军进疆纪念馆项目支出表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中国工农红军西路军进疆纪念馆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抚恤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烈士纪念设施管理维护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特定类-纪念馆运行经费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pPr w:leftFromText="180" w:rightFromText="180" w:vertAnchor="text" w:horzAnchor="page" w:tblpX="1571" w:tblpY="665"/>
        <w:tblOverlap w:val="never"/>
        <w:tblW w:w="928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908"/>
        <w:gridCol w:w="1038"/>
        <w:gridCol w:w="1012"/>
        <w:gridCol w:w="1050"/>
        <w:gridCol w:w="975"/>
        <w:gridCol w:w="1063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2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2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哈密市伊州区红军西路军进疆纪念园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纪念馆运行经费</w:t>
            </w:r>
          </w:p>
        </w:tc>
        <w:tc>
          <w:tcPr>
            <w:tcW w:w="2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牛牧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0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2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2024年度申请预算资金34万元，用于支付纪念馆正常运行中的锅炉用煤、用电、用水、车辆维修维护、设备维修维护、职工食堂运行等费用，以保证纪念馆的正常运行。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维修维护车辆数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维修维护设备数量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&gt;=2个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保障职工用餐人数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&gt;=10人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车辆正常使用率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设备完好率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供餐达标率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车辆维修维护及时率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设备维修维护及时率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供餐及时率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2024年纪念馆运行经费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=34万元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保障纪念馆正常运行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参观游客满意度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E8C3A51"/>
    <w:rsid w:val="1F945345"/>
    <w:rsid w:val="22AA5687"/>
    <w:rsid w:val="22E65A86"/>
    <w:rsid w:val="24C538F5"/>
    <w:rsid w:val="287D51DE"/>
    <w:rsid w:val="2CD80A87"/>
    <w:rsid w:val="3DCF64F7"/>
    <w:rsid w:val="3F2A1D89"/>
    <w:rsid w:val="43EB39D1"/>
    <w:rsid w:val="44B94F88"/>
    <w:rsid w:val="63730EDE"/>
    <w:rsid w:val="753C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2024-07-11T03:41:33Z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55E6396F8E3E4FEC96EE9345D16C9B35</vt:lpwstr>
  </property>
</Properties>
</file>