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60" w:firstLineChars="200"/>
        <w:rPr>
          <w:rFonts w:hint="eastAsia" w:ascii="仿宋_GB2312" w:hAnsi="仿宋_GB2312" w:eastAsia="仿宋_GB2312" w:cs="仿宋_GB2312"/>
          <w:spacing w:val="5"/>
          <w:sz w:val="32"/>
          <w:szCs w:val="32"/>
        </w:rPr>
      </w:pPr>
    </w:p>
    <w:p>
      <w:pPr>
        <w:widowControl/>
        <w:spacing w:before="100" w:beforeAutospacing="1" w:after="100" w:afterAutospacing="1"/>
        <w:jc w:val="center"/>
        <w:outlineLvl w:val="1"/>
        <w:rPr>
          <w:rFonts w:hint="default" w:ascii="宋体" w:eastAsia="方正小标宋_GBK"/>
          <w:b/>
          <w:bCs/>
          <w:kern w:val="0"/>
          <w:sz w:val="44"/>
          <w:szCs w:val="44"/>
          <w:lang w:val="en-US" w:eastAsia="zh-CN"/>
        </w:rPr>
      </w:pPr>
      <w:r>
        <w:rPr>
          <w:rFonts w:hint="eastAsia" w:ascii="方正小标宋_GBK" w:hAnsi="宋体" w:eastAsia="方正小标宋_GBK" w:cs="方正小标宋_GBK"/>
          <w:kern w:val="0"/>
          <w:sz w:val="44"/>
          <w:szCs w:val="44"/>
          <w:lang w:val="en-US" w:eastAsia="zh-CN"/>
        </w:rPr>
        <w:t>关于</w:t>
      </w:r>
      <w:bookmarkStart w:id="0" w:name="_GoBack"/>
      <w:r>
        <w:rPr>
          <w:rFonts w:hint="eastAsia" w:ascii="方正小标宋_GBK" w:hAnsi="宋体" w:eastAsia="方正小标宋_GBK" w:cs="方正小标宋_GBK"/>
          <w:kern w:val="0"/>
          <w:sz w:val="44"/>
          <w:szCs w:val="44"/>
          <w:lang w:val="en-US" w:eastAsia="zh-CN"/>
        </w:rPr>
        <w:t>伊州区</w:t>
      </w:r>
      <w:r>
        <w:rPr>
          <w:rFonts w:hint="eastAsia" w:ascii="方正小标宋_GBK" w:hAnsi="宋体" w:eastAsia="方正小标宋_GBK" w:cs="Times New Roman"/>
          <w:color w:val="auto"/>
          <w:kern w:val="0"/>
          <w:sz w:val="44"/>
          <w:szCs w:val="44"/>
          <w:highlight w:val="none"/>
          <w:lang w:val="en-US" w:eastAsia="zh-CN"/>
        </w:rPr>
        <w:t>中国人民政治协商会议新疆维吾尔自治区哈密市伊州区委员会</w:t>
      </w:r>
      <w:r>
        <w:rPr>
          <w:rFonts w:hint="eastAsia" w:ascii="方正小标宋_GBK" w:hAnsi="宋体" w:eastAsia="方正小标宋_GBK"/>
          <w:kern w:val="0"/>
          <w:sz w:val="44"/>
          <w:szCs w:val="44"/>
        </w:rPr>
        <w:t>202</w:t>
      </w:r>
      <w:r>
        <w:rPr>
          <w:rFonts w:hint="eastAsia" w:ascii="方正小标宋_GBK" w:hAnsi="宋体" w:eastAsia="方正小标宋_GBK"/>
          <w:kern w:val="0"/>
          <w:sz w:val="44"/>
          <w:szCs w:val="44"/>
          <w:lang w:val="en-US" w:eastAsia="zh-CN"/>
        </w:rPr>
        <w:t>4</w:t>
      </w:r>
      <w:r>
        <w:rPr>
          <w:rFonts w:hint="eastAsia" w:ascii="方正小标宋_GBK" w:hAnsi="宋体" w:eastAsia="方正小标宋_GBK"/>
          <w:kern w:val="0"/>
          <w:sz w:val="44"/>
          <w:szCs w:val="44"/>
        </w:rPr>
        <w:t>年部门</w:t>
      </w:r>
      <w:r>
        <w:rPr>
          <w:rFonts w:hint="eastAsia" w:ascii="方正小标宋_GBK" w:hAnsi="宋体" w:eastAsia="方正小标宋_GBK"/>
          <w:kern w:val="0"/>
          <w:sz w:val="44"/>
          <w:szCs w:val="44"/>
          <w:lang w:val="en-US" w:eastAsia="zh-CN"/>
        </w:rPr>
        <w:t>调整</w:t>
      </w:r>
      <w:r>
        <w:rPr>
          <w:rFonts w:hint="eastAsia" w:ascii="方正小标宋_GBK" w:hAnsi="宋体" w:eastAsia="方正小标宋_GBK"/>
          <w:kern w:val="0"/>
          <w:sz w:val="44"/>
          <w:szCs w:val="44"/>
        </w:rPr>
        <w:t>预算</w:t>
      </w:r>
      <w:bookmarkEnd w:id="0"/>
      <w:r>
        <w:rPr>
          <w:rFonts w:hint="eastAsia" w:ascii="方正小标宋_GBK" w:hAnsi="宋体" w:eastAsia="方正小标宋_GBK"/>
          <w:kern w:val="0"/>
          <w:sz w:val="44"/>
          <w:szCs w:val="44"/>
        </w:rPr>
        <w:t>公开</w:t>
      </w:r>
      <w:r>
        <w:rPr>
          <w:rFonts w:hint="eastAsia" w:ascii="方正小标宋_GBK" w:hAnsi="宋体" w:eastAsia="方正小标宋_GBK"/>
          <w:kern w:val="0"/>
          <w:sz w:val="44"/>
          <w:szCs w:val="44"/>
          <w:lang w:val="en-US" w:eastAsia="zh-CN"/>
        </w:rPr>
        <w:t>的说明</w:t>
      </w:r>
    </w:p>
    <w:p>
      <w:pPr>
        <w:ind w:firstLine="660" w:firstLineChars="200"/>
        <w:rPr>
          <w:rFonts w:hint="eastAsia" w:ascii="仿宋_GB2312" w:hAnsi="仿宋_GB2312" w:eastAsia="仿宋_GB2312" w:cs="仿宋_GB2312"/>
          <w:spacing w:val="5"/>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63" w:firstLineChars="200"/>
        <w:textAlignment w:val="auto"/>
        <w:rPr>
          <w:rFonts w:hint="eastAsia" w:ascii="仿宋_GB2312" w:hAnsi="仿宋_GB2312" w:eastAsia="仿宋_GB2312" w:cs="仿宋_GB2312"/>
          <w:b/>
          <w:bCs/>
          <w:spacing w:val="5"/>
          <w:sz w:val="32"/>
          <w:szCs w:val="32"/>
          <w:lang w:val="en-US" w:eastAsia="zh-CN"/>
        </w:rPr>
      </w:pPr>
      <w:r>
        <w:rPr>
          <w:rFonts w:hint="eastAsia" w:ascii="仿宋_GB2312" w:hAnsi="仿宋_GB2312" w:eastAsia="仿宋_GB2312" w:cs="仿宋_GB2312"/>
          <w:b/>
          <w:bCs/>
          <w:spacing w:val="5"/>
          <w:sz w:val="32"/>
          <w:szCs w:val="32"/>
          <w:lang w:val="en-US" w:eastAsia="zh-CN"/>
        </w:rPr>
        <w:t>预算调整情况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60" w:firstLineChars="200"/>
        <w:textAlignment w:val="auto"/>
        <w:rPr>
          <w:rFonts w:hint="eastAsia" w:ascii="仿宋_GB2312" w:hAnsi="仿宋_GB2312" w:eastAsia="仿宋_GB2312" w:cs="仿宋_GB2312"/>
          <w:color w:val="auto"/>
          <w:spacing w:val="18"/>
          <w:sz w:val="32"/>
          <w:szCs w:val="32"/>
          <w:lang w:eastAsia="zh-CN"/>
        </w:rPr>
      </w:pPr>
      <w:r>
        <w:rPr>
          <w:rFonts w:hint="eastAsia" w:ascii="仿宋_GB2312" w:hAnsi="仿宋_GB2312" w:eastAsia="仿宋_GB2312" w:cs="仿宋_GB2312"/>
          <w:spacing w:val="5"/>
          <w:sz w:val="32"/>
          <w:szCs w:val="32"/>
        </w:rPr>
        <w:t>根据《</w:t>
      </w:r>
      <w:r>
        <w:rPr>
          <w:rFonts w:hint="eastAsia" w:ascii="仿宋_GB2312" w:hAnsi="仿宋_GB2312" w:eastAsia="仿宋_GB2312" w:cs="仿宋_GB2312"/>
          <w:spacing w:val="5"/>
          <w:sz w:val="32"/>
          <w:szCs w:val="32"/>
          <w:lang w:val="en-US" w:eastAsia="zh-CN"/>
        </w:rPr>
        <w:t>中华人民共和国</w:t>
      </w:r>
      <w:r>
        <w:rPr>
          <w:rFonts w:hint="eastAsia" w:ascii="仿宋_GB2312" w:hAnsi="仿宋_GB2312" w:eastAsia="仿宋_GB2312" w:cs="仿宋_GB2312"/>
          <w:spacing w:val="5"/>
          <w:sz w:val="32"/>
          <w:szCs w:val="32"/>
        </w:rPr>
        <w:t>预算</w:t>
      </w:r>
      <w:r>
        <w:rPr>
          <w:rFonts w:hint="eastAsia" w:ascii="仿宋_GB2312" w:hAnsi="仿宋_GB2312" w:eastAsia="仿宋_GB2312" w:cs="仿宋_GB2312"/>
          <w:spacing w:val="-3"/>
          <w:sz w:val="32"/>
          <w:szCs w:val="32"/>
        </w:rPr>
        <w:t>法》、《预算法实施条例》</w:t>
      </w:r>
      <w:r>
        <w:rPr>
          <w:rFonts w:hint="eastAsia" w:ascii="仿宋_GB2312" w:hAnsi="仿宋_GB2312" w:eastAsia="仿宋_GB2312" w:cs="仿宋_GB2312"/>
          <w:spacing w:val="-3"/>
          <w:sz w:val="32"/>
          <w:szCs w:val="32"/>
          <w:lang w:eastAsia="zh-CN"/>
        </w:rPr>
        <w:t>，</w:t>
      </w:r>
      <w:r>
        <w:rPr>
          <w:rFonts w:hint="eastAsia" w:ascii="仿宋_GB2312" w:hAnsi="仿宋_GB2312" w:eastAsia="仿宋_GB2312" w:cs="仿宋_GB2312"/>
          <w:spacing w:val="-3"/>
          <w:sz w:val="32"/>
          <w:szCs w:val="32"/>
          <w:lang w:val="en-US" w:eastAsia="zh-CN"/>
        </w:rPr>
        <w:t>经伊州区二届人大常委会第二十二次会议批准</w:t>
      </w:r>
      <w:r>
        <w:rPr>
          <w:rFonts w:hint="eastAsia" w:ascii="仿宋_GB2312" w:hAnsi="仿宋_GB2312" w:eastAsia="仿宋_GB2312" w:cs="仿宋_GB2312"/>
          <w:spacing w:val="-3"/>
          <w:sz w:val="32"/>
          <w:szCs w:val="32"/>
        </w:rPr>
        <w:t>，202</w:t>
      </w:r>
      <w:r>
        <w:rPr>
          <w:rFonts w:hint="eastAsia" w:ascii="仿宋_GB2312" w:hAnsi="仿宋_GB2312" w:eastAsia="仿宋_GB2312" w:cs="仿宋_GB2312"/>
          <w:spacing w:val="-3"/>
          <w:sz w:val="32"/>
          <w:szCs w:val="32"/>
          <w:lang w:val="en-US" w:eastAsia="zh-CN"/>
        </w:rPr>
        <w:t>4</w:t>
      </w:r>
      <w:r>
        <w:rPr>
          <w:rFonts w:hint="eastAsia" w:ascii="仿宋_GB2312" w:hAnsi="仿宋_GB2312" w:eastAsia="仿宋_GB2312" w:cs="仿宋_GB2312"/>
          <w:spacing w:val="18"/>
          <w:sz w:val="32"/>
          <w:szCs w:val="32"/>
        </w:rPr>
        <w:t>年</w:t>
      </w:r>
      <w:r>
        <w:rPr>
          <w:rFonts w:hint="eastAsia" w:ascii="仿宋_GB2312" w:hAnsi="仿宋_GB2312" w:eastAsia="仿宋_GB2312" w:cs="仿宋_GB2312"/>
          <w:spacing w:val="18"/>
          <w:sz w:val="32"/>
          <w:szCs w:val="32"/>
          <w:lang w:val="en-US" w:eastAsia="zh-CN"/>
        </w:rPr>
        <w:t>我单位</w:t>
      </w:r>
      <w:r>
        <w:rPr>
          <w:rFonts w:hint="eastAsia" w:ascii="仿宋_GB2312" w:hAnsi="仿宋_GB2312" w:eastAsia="仿宋_GB2312" w:cs="仿宋_GB2312"/>
          <w:color w:val="auto"/>
          <w:spacing w:val="18"/>
          <w:sz w:val="32"/>
          <w:szCs w:val="32"/>
          <w:highlight w:val="none"/>
          <w:lang w:val="en-US" w:eastAsia="zh-CN"/>
        </w:rPr>
        <w:t>项目支出由年初24万元调整为23.98万元</w:t>
      </w:r>
      <w:r>
        <w:rPr>
          <w:rFonts w:hint="eastAsia" w:ascii="仿宋_GB2312" w:hAnsi="仿宋_GB2312" w:eastAsia="仿宋_GB2312" w:cs="仿宋_GB2312"/>
          <w:color w:val="auto"/>
          <w:spacing w:val="18"/>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15" w:firstLineChars="200"/>
        <w:textAlignment w:val="auto"/>
        <w:rPr>
          <w:rFonts w:hint="eastAsia" w:ascii="仿宋_GB2312" w:hAnsi="仿宋_GB2312" w:eastAsia="仿宋_GB2312" w:cs="仿宋_GB2312"/>
          <w:b/>
          <w:bCs/>
          <w:spacing w:val="18"/>
          <w:sz w:val="32"/>
          <w:szCs w:val="32"/>
          <w:lang w:val="en-US" w:eastAsia="zh-CN"/>
        </w:rPr>
      </w:pPr>
      <w:r>
        <w:rPr>
          <w:rFonts w:hint="eastAsia" w:ascii="仿宋_GB2312" w:hAnsi="仿宋_GB2312" w:eastAsia="仿宋_GB2312" w:cs="仿宋_GB2312"/>
          <w:b/>
          <w:bCs/>
          <w:spacing w:val="18"/>
          <w:sz w:val="32"/>
          <w:szCs w:val="32"/>
          <w:lang w:val="en-US" w:eastAsia="zh-CN"/>
        </w:rPr>
        <w:t>绩效目标调整情况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因项目金额发生变化，原项目绩效目标同步调整。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 xml:space="preserve">  具体情况详见附件。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default"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附件一：伊州区中国人民政治协商会议新疆维吾尔自治区哈密市伊州区委员会中国人民政治协商会议新疆维吾尔自治区哈密市伊州区委员会项目支出表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附件二：项目绩效目标调整情况表（与原项目绩效目标表表样相同）</w:t>
      </w:r>
    </w:p>
    <w:p>
      <w:pPr>
        <w:rPr>
          <w:rFonts w:hint="eastAsia" w:ascii="仿宋_GB2312" w:hAnsi="仿宋_GB2312" w:eastAsia="仿宋_GB2312" w:cs="仿宋_GB2312"/>
          <w:spacing w:val="18"/>
          <w:sz w:val="32"/>
          <w:szCs w:val="32"/>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pacing w:val="18"/>
          <w:sz w:val="32"/>
          <w:szCs w:val="32"/>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附件一</w:t>
      </w:r>
    </w:p>
    <w:tbl>
      <w:tblPr>
        <w:tblStyle w:val="3"/>
        <w:tblW w:w="15129" w:type="dxa"/>
        <w:jc w:val="center"/>
        <w:tblInd w:w="0" w:type="dxa"/>
        <w:tblLayout w:type="fixed"/>
        <w:tblCellMar>
          <w:top w:w="0" w:type="dxa"/>
          <w:left w:w="108" w:type="dxa"/>
          <w:bottom w:w="0" w:type="dxa"/>
          <w:right w:w="108" w:type="dxa"/>
        </w:tblCellMar>
      </w:tblPr>
      <w:tblGrid>
        <w:gridCol w:w="931"/>
        <w:gridCol w:w="931"/>
        <w:gridCol w:w="931"/>
        <w:gridCol w:w="931"/>
        <w:gridCol w:w="1198"/>
        <w:gridCol w:w="931"/>
        <w:gridCol w:w="931"/>
        <w:gridCol w:w="931"/>
        <w:gridCol w:w="931"/>
        <w:gridCol w:w="931"/>
        <w:gridCol w:w="932"/>
        <w:gridCol w:w="932"/>
        <w:gridCol w:w="36"/>
        <w:gridCol w:w="730"/>
        <w:gridCol w:w="730"/>
        <w:gridCol w:w="730"/>
        <w:gridCol w:w="731"/>
        <w:gridCol w:w="731"/>
      </w:tblGrid>
      <w:tr>
        <w:tblPrEx>
          <w:tblLayout w:type="fixed"/>
          <w:tblCellMar>
            <w:top w:w="0" w:type="dxa"/>
            <w:left w:w="108" w:type="dxa"/>
            <w:bottom w:w="0" w:type="dxa"/>
            <w:right w:w="108" w:type="dxa"/>
          </w:tblCellMar>
        </w:tblPrEx>
        <w:trPr>
          <w:trHeight w:val="476" w:hRule="atLeast"/>
          <w:jc w:val="center"/>
        </w:trPr>
        <w:tc>
          <w:tcPr>
            <w:tcW w:w="11441" w:type="dxa"/>
            <w:gridSpan w:val="12"/>
            <w:tcBorders>
              <w:top w:val="nil"/>
              <w:left w:val="nil"/>
              <w:bottom w:val="nil"/>
              <w:right w:val="nil"/>
            </w:tcBorders>
            <w:vAlign w:val="center"/>
          </w:tcPr>
          <w:p>
            <w:pPr>
              <w:keepNext w:val="0"/>
              <w:keepLines w:val="0"/>
              <w:widowControl/>
              <w:suppressLineNumbers w:val="0"/>
              <w:jc w:val="left"/>
              <w:textAlignment w:val="center"/>
              <w:rPr>
                <w:rFonts w:hint="default" w:ascii="仿宋_GB2312" w:hAnsi="宋体" w:eastAsia="仿宋_GB2312" w:cs="宋体"/>
                <w:color w:val="000000"/>
                <w:kern w:val="0"/>
                <w:sz w:val="24"/>
                <w:lang w:val="en-US" w:eastAsia="zh-CN"/>
              </w:rPr>
            </w:pPr>
            <w:r>
              <w:rPr>
                <w:rFonts w:hint="eastAsia" w:ascii="仿宋_GB2312" w:hAnsi="宋体" w:eastAsia="仿宋_GB2312" w:cs="仿宋_GB2312"/>
                <w:i w:val="0"/>
                <w:color w:val="000000"/>
                <w:kern w:val="0"/>
                <w:sz w:val="24"/>
                <w:szCs w:val="24"/>
                <w:u w:val="none"/>
                <w:lang w:val="en-US" w:eastAsia="zh-CN" w:bidi="ar"/>
              </w:rPr>
              <w:t>编制部门:</w:t>
            </w:r>
            <w:r>
              <w:rPr>
                <w:rFonts w:hint="eastAsia" w:ascii="仿宋_GB2312" w:hAnsi="宋体" w:eastAsia="仿宋_GB2312"/>
                <w:kern w:val="0"/>
                <w:sz w:val="24"/>
              </w:rPr>
              <w:t>中国人民政治协商会议新疆维吾尔自治区哈密市伊州区委员会</w:t>
            </w:r>
          </w:p>
        </w:tc>
        <w:tc>
          <w:tcPr>
            <w:tcW w:w="3688" w:type="dxa"/>
            <w:gridSpan w:val="6"/>
            <w:tcBorders>
              <w:top w:val="nil"/>
              <w:left w:val="nil"/>
              <w:bottom w:val="nil"/>
              <w:right w:val="nil"/>
            </w:tcBorders>
            <w:vAlign w:val="center"/>
          </w:tcPr>
          <w:p>
            <w:pPr>
              <w:keepNext w:val="0"/>
              <w:keepLines w:val="0"/>
              <w:widowControl/>
              <w:suppressLineNumbers w:val="0"/>
              <w:jc w:val="right"/>
              <w:textAlignment w:val="center"/>
              <w:rPr>
                <w:rFonts w:hint="default" w:ascii="仿宋_GB2312" w:hAnsi="宋体" w:eastAsia="仿宋_GB2312" w:cs="宋体"/>
                <w:color w:val="000000"/>
                <w:kern w:val="0"/>
                <w:sz w:val="24"/>
                <w:lang w:val="en-US" w:eastAsia="zh-CN"/>
              </w:rPr>
            </w:pPr>
            <w:r>
              <w:rPr>
                <w:rFonts w:hint="eastAsia" w:ascii="仿宋_GB2312" w:hAnsi="宋体" w:eastAsia="仿宋_GB2312" w:cs="仿宋_GB2312"/>
                <w:i w:val="0"/>
                <w:color w:val="000000"/>
                <w:kern w:val="0"/>
                <w:sz w:val="24"/>
                <w:szCs w:val="24"/>
                <w:u w:val="none"/>
                <w:lang w:val="en-US" w:eastAsia="zh-CN" w:bidi="ar"/>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2793" w:type="dxa"/>
            <w:gridSpan w:val="3"/>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科 目 编 码</w:t>
            </w:r>
          </w:p>
        </w:tc>
        <w:tc>
          <w:tcPr>
            <w:tcW w:w="931" w:type="dxa"/>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科目</w:t>
            </w:r>
          </w:p>
        </w:tc>
        <w:tc>
          <w:tcPr>
            <w:tcW w:w="1198" w:type="dxa"/>
            <w:vMerge w:val="restart"/>
            <w:vAlign w:val="center"/>
          </w:tcPr>
          <w:p>
            <w:pPr>
              <w:keepNext w:val="0"/>
              <w:keepLines w:val="0"/>
              <w:widowControl/>
              <w:suppressLineNumbers w:val="0"/>
              <w:jc w:val="center"/>
              <w:textAlignment w:val="center"/>
              <w:rPr>
                <w:rFonts w:ascii="Calibri" w:hAnsi="Calibri" w:eastAsia="宋体" w:cs="Times New Roman"/>
                <w:kern w:val="2"/>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项目名称</w:t>
            </w:r>
          </w:p>
        </w:tc>
        <w:tc>
          <w:tcPr>
            <w:tcW w:w="9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年初项目支出合计</w:t>
            </w:r>
          </w:p>
        </w:tc>
        <w:tc>
          <w:tcPr>
            <w:tcW w:w="9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调整后项目支出合计</w:t>
            </w:r>
          </w:p>
        </w:tc>
        <w:tc>
          <w:tcPr>
            <w:tcW w:w="9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工资福利支出</w:t>
            </w:r>
          </w:p>
        </w:tc>
        <w:tc>
          <w:tcPr>
            <w:tcW w:w="931" w:type="dxa"/>
            <w:vMerge w:val="restart"/>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商品和服务支出</w:t>
            </w:r>
          </w:p>
        </w:tc>
        <w:tc>
          <w:tcPr>
            <w:tcW w:w="9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对个人和家庭的补助</w:t>
            </w:r>
          </w:p>
        </w:tc>
        <w:tc>
          <w:tcPr>
            <w:tcW w:w="932"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债务利息及费用支出</w:t>
            </w:r>
          </w:p>
        </w:tc>
        <w:tc>
          <w:tcPr>
            <w:tcW w:w="968" w:type="dxa"/>
            <w:gridSpan w:val="2"/>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资本性支出（基本建设）</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资本性支出</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对企业补助（基本建设）</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对企业补助</w:t>
            </w:r>
          </w:p>
        </w:tc>
        <w:tc>
          <w:tcPr>
            <w:tcW w:w="7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对社会保障基金补助</w:t>
            </w:r>
          </w:p>
        </w:tc>
        <w:tc>
          <w:tcPr>
            <w:tcW w:w="7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4" w:hRule="atLeast"/>
          <w:jc w:val="center"/>
        </w:trPr>
        <w:tc>
          <w:tcPr>
            <w:tcW w:w="931"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类</w:t>
            </w:r>
          </w:p>
        </w:tc>
        <w:tc>
          <w:tcPr>
            <w:tcW w:w="931"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款</w:t>
            </w:r>
          </w:p>
        </w:tc>
        <w:tc>
          <w:tcPr>
            <w:tcW w:w="931"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项</w:t>
            </w:r>
          </w:p>
        </w:tc>
        <w:tc>
          <w:tcPr>
            <w:tcW w:w="931" w:type="dxa"/>
            <w:vAlign w:val="center"/>
          </w:tcPr>
          <w:p>
            <w:pPr>
              <w:keepNext w:val="0"/>
              <w:keepLines w:val="0"/>
              <w:widowControl/>
              <w:suppressLineNumbers w:val="0"/>
              <w:jc w:val="center"/>
              <w:textAlignment w:val="center"/>
              <w:rPr>
                <w:rFonts w:ascii="Calibri" w:hAnsi="Calibri"/>
                <w:sz w:val="20"/>
                <w:szCs w:val="20"/>
              </w:rPr>
            </w:pPr>
            <w:r>
              <w:rPr>
                <w:rFonts w:hint="eastAsia" w:ascii="仿宋_GB2312" w:hAnsi="宋体" w:eastAsia="仿宋_GB2312" w:cs="仿宋_GB2312"/>
                <w:b/>
                <w:i w:val="0"/>
                <w:color w:val="000000"/>
                <w:kern w:val="0"/>
                <w:sz w:val="20"/>
                <w:szCs w:val="20"/>
                <w:u w:val="none"/>
                <w:lang w:val="en-US" w:eastAsia="zh-CN" w:bidi="ar"/>
              </w:rPr>
              <w:t>名称</w:t>
            </w:r>
          </w:p>
        </w:tc>
        <w:tc>
          <w:tcPr>
            <w:tcW w:w="1198" w:type="dxa"/>
            <w:vMerge w:val="continue"/>
            <w:vAlign w:val="center"/>
          </w:tcPr>
          <w:p>
            <w:pPr>
              <w:jc w:val="center"/>
            </w:pPr>
          </w:p>
        </w:tc>
        <w:tc>
          <w:tcPr>
            <w:tcW w:w="931" w:type="dxa"/>
            <w:vMerge w:val="continue"/>
            <w:vAlign w:val="center"/>
          </w:tcPr>
          <w:p>
            <w:pPr>
              <w:jc w:val="center"/>
              <w:rPr>
                <w:rFonts w:ascii="仿宋_GB2312" w:hAnsi="宋体" w:eastAsia="仿宋_GB2312"/>
                <w:b/>
                <w:kern w:val="0"/>
                <w:sz w:val="20"/>
                <w:szCs w:val="20"/>
              </w:rPr>
            </w:pPr>
          </w:p>
        </w:tc>
        <w:tc>
          <w:tcPr>
            <w:tcW w:w="931" w:type="dxa"/>
            <w:vMerge w:val="continue"/>
            <w:vAlign w:val="center"/>
          </w:tcPr>
          <w:p>
            <w:pPr>
              <w:jc w:val="center"/>
              <w:rPr>
                <w:rFonts w:ascii="仿宋_GB2312" w:hAnsi="宋体" w:eastAsia="仿宋_GB2312"/>
                <w:b/>
                <w:kern w:val="0"/>
                <w:sz w:val="20"/>
                <w:szCs w:val="20"/>
              </w:rPr>
            </w:pPr>
          </w:p>
        </w:tc>
        <w:tc>
          <w:tcPr>
            <w:tcW w:w="931" w:type="dxa"/>
            <w:vMerge w:val="continue"/>
            <w:vAlign w:val="center"/>
          </w:tcPr>
          <w:p>
            <w:pPr>
              <w:jc w:val="center"/>
              <w:rPr>
                <w:rFonts w:ascii="仿宋_GB2312" w:hAnsi="宋体" w:eastAsia="仿宋_GB2312"/>
                <w:b/>
                <w:kern w:val="0"/>
                <w:sz w:val="20"/>
                <w:szCs w:val="20"/>
              </w:rPr>
            </w:pPr>
          </w:p>
        </w:tc>
        <w:tc>
          <w:tcPr>
            <w:tcW w:w="931" w:type="dxa"/>
            <w:vMerge w:val="continue"/>
            <w:vAlign w:val="center"/>
          </w:tcPr>
          <w:p>
            <w:pPr>
              <w:jc w:val="center"/>
            </w:pPr>
          </w:p>
        </w:tc>
        <w:tc>
          <w:tcPr>
            <w:tcW w:w="931" w:type="dxa"/>
            <w:vMerge w:val="continue"/>
            <w:vAlign w:val="center"/>
          </w:tcPr>
          <w:p>
            <w:pPr>
              <w:jc w:val="center"/>
              <w:rPr>
                <w:rFonts w:ascii="仿宋_GB2312" w:hAnsi="宋体" w:eastAsia="仿宋_GB2312"/>
                <w:b/>
                <w:kern w:val="0"/>
                <w:sz w:val="20"/>
                <w:szCs w:val="20"/>
              </w:rPr>
            </w:pPr>
          </w:p>
        </w:tc>
        <w:tc>
          <w:tcPr>
            <w:tcW w:w="932" w:type="dxa"/>
            <w:vMerge w:val="continue"/>
            <w:vAlign w:val="center"/>
          </w:tcPr>
          <w:p>
            <w:pPr>
              <w:jc w:val="center"/>
              <w:rPr>
                <w:rFonts w:ascii="仿宋_GB2312" w:hAnsi="宋体" w:eastAsia="仿宋_GB2312"/>
                <w:b/>
                <w:kern w:val="0"/>
                <w:sz w:val="20"/>
                <w:szCs w:val="20"/>
              </w:rPr>
            </w:pPr>
          </w:p>
        </w:tc>
        <w:tc>
          <w:tcPr>
            <w:tcW w:w="968" w:type="dxa"/>
            <w:gridSpan w:val="2"/>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1" w:type="dxa"/>
            <w:vMerge w:val="continue"/>
            <w:vAlign w:val="center"/>
          </w:tcPr>
          <w:p>
            <w:pPr>
              <w:jc w:val="center"/>
              <w:rPr>
                <w:rFonts w:ascii="仿宋_GB2312" w:hAnsi="宋体" w:eastAsia="仿宋_GB2312"/>
                <w:b/>
                <w:kern w:val="0"/>
                <w:sz w:val="20"/>
                <w:szCs w:val="20"/>
              </w:rPr>
            </w:pPr>
          </w:p>
        </w:tc>
        <w:tc>
          <w:tcPr>
            <w:tcW w:w="731" w:type="dxa"/>
            <w:vMerge w:val="continue"/>
            <w:vAlign w:val="center"/>
          </w:tcPr>
          <w:p>
            <w:pPr>
              <w:jc w:val="center"/>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1198" w:type="dxa"/>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2</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3</w:t>
            </w:r>
          </w:p>
        </w:tc>
        <w:tc>
          <w:tcPr>
            <w:tcW w:w="931" w:type="dxa"/>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4</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5</w:t>
            </w:r>
          </w:p>
        </w:tc>
        <w:tc>
          <w:tcPr>
            <w:tcW w:w="932"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6</w:t>
            </w:r>
          </w:p>
        </w:tc>
        <w:tc>
          <w:tcPr>
            <w:tcW w:w="968" w:type="dxa"/>
            <w:gridSpan w:val="2"/>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7</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9</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10</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11</w:t>
            </w:r>
          </w:p>
        </w:tc>
        <w:tc>
          <w:tcPr>
            <w:tcW w:w="7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12</w:t>
            </w:r>
          </w:p>
        </w:tc>
        <w:tc>
          <w:tcPr>
            <w:tcW w:w="7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31"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201</w:t>
            </w:r>
          </w:p>
        </w:tc>
        <w:tc>
          <w:tcPr>
            <w:tcW w:w="931" w:type="dxa"/>
            <w:vAlign w:val="center"/>
          </w:tcPr>
          <w:p>
            <w:pPr>
              <w:jc w:val="left"/>
              <w:rPr>
                <w:rFonts w:ascii="仿宋_GB2312" w:hAnsi="宋体" w:eastAsia="仿宋_GB2312"/>
                <w:kern w:val="0"/>
                <w:sz w:val="16"/>
                <w:szCs w:val="16"/>
              </w:rPr>
            </w:pPr>
          </w:p>
        </w:tc>
        <w:tc>
          <w:tcPr>
            <w:tcW w:w="931" w:type="dxa"/>
            <w:vAlign w:val="center"/>
          </w:tcPr>
          <w:p>
            <w:pPr>
              <w:jc w:val="left"/>
              <w:rPr>
                <w:rFonts w:ascii="仿宋_GB2312" w:hAnsi="宋体" w:eastAsia="仿宋_GB2312"/>
                <w:kern w:val="0"/>
                <w:sz w:val="16"/>
                <w:szCs w:val="16"/>
              </w:rPr>
            </w:pPr>
          </w:p>
        </w:tc>
        <w:tc>
          <w:tcPr>
            <w:tcW w:w="931"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eastAsia="仿宋_GB2312"/>
                <w:color w:val="auto"/>
                <w:sz w:val="20"/>
                <w:szCs w:val="20"/>
                <w:highlight w:val="none"/>
                <w:lang w:val="en-US" w:eastAsia="zh-CN"/>
              </w:rPr>
              <w:t>一般公共服务支出</w:t>
            </w:r>
          </w:p>
        </w:tc>
        <w:tc>
          <w:tcPr>
            <w:tcW w:w="1198" w:type="dxa"/>
            <w:vAlign w:val="center"/>
          </w:tcPr>
          <w:p>
            <w:pPr>
              <w:jc w:val="left"/>
            </w:pPr>
          </w:p>
        </w:tc>
        <w:tc>
          <w:tcPr>
            <w:tcW w:w="931" w:type="dxa"/>
            <w:vAlign w:val="center"/>
          </w:tcPr>
          <w:p>
            <w:pPr>
              <w:jc w:val="right"/>
              <w:rPr>
                <w:rFonts w:hint="default" w:eastAsiaTheme="minorEastAsia"/>
                <w:lang w:val="en-US" w:eastAsia="zh-CN"/>
              </w:rPr>
            </w:pPr>
            <w:r>
              <w:rPr>
                <w:rFonts w:hint="eastAsia" w:ascii="仿宋_GB2312" w:eastAsia="仿宋_GB2312"/>
                <w:color w:val="auto"/>
                <w:sz w:val="20"/>
                <w:szCs w:val="20"/>
                <w:highlight w:val="none"/>
                <w:lang w:val="en-US" w:eastAsia="zh-CN"/>
              </w:rPr>
              <w:t>24.00</w:t>
            </w:r>
          </w:p>
        </w:tc>
        <w:tc>
          <w:tcPr>
            <w:tcW w:w="931" w:type="dxa"/>
            <w:vAlign w:val="center"/>
          </w:tcPr>
          <w:p>
            <w:pPr>
              <w:jc w:val="right"/>
              <w:rPr>
                <w:rFonts w:hint="default" w:ascii="仿宋_GB2312" w:hAnsi="宋体" w:eastAsia="仿宋_GB2312" w:cs="宋体"/>
                <w:kern w:val="0"/>
                <w:sz w:val="16"/>
                <w:szCs w:val="16"/>
                <w:lang w:val="en-US" w:eastAsia="zh-CN"/>
              </w:rPr>
            </w:pPr>
            <w:r>
              <w:rPr>
                <w:rFonts w:hint="eastAsia" w:ascii="仿宋_GB2312" w:eastAsia="仿宋_GB2312"/>
                <w:color w:val="auto"/>
                <w:sz w:val="20"/>
                <w:szCs w:val="20"/>
                <w:highlight w:val="none"/>
                <w:lang w:val="en-US" w:eastAsia="zh-CN"/>
              </w:rPr>
              <w:t>23.98</w:t>
            </w: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rPr>
                <w:rFonts w:hint="default" w:ascii="仿宋_GB2312" w:hAnsi="宋体" w:eastAsia="仿宋_GB2312" w:cs="宋体"/>
                <w:kern w:val="0"/>
                <w:sz w:val="16"/>
                <w:szCs w:val="16"/>
                <w:lang w:val="en-US" w:eastAsia="zh-CN" w:bidi="ar-SA"/>
              </w:rPr>
            </w:pPr>
            <w:r>
              <w:rPr>
                <w:rFonts w:hint="eastAsia" w:ascii="仿宋_GB2312" w:eastAsia="仿宋_GB2312"/>
                <w:color w:val="auto"/>
                <w:sz w:val="20"/>
                <w:szCs w:val="20"/>
                <w:highlight w:val="none"/>
                <w:lang w:val="en-US" w:eastAsia="zh-CN"/>
              </w:rPr>
              <w:t>23.98</w:t>
            </w: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201</w:t>
            </w:r>
          </w:p>
        </w:tc>
        <w:tc>
          <w:tcPr>
            <w:tcW w:w="931" w:type="dxa"/>
            <w:vAlign w:val="center"/>
          </w:tcPr>
          <w:p>
            <w:pPr>
              <w:jc w:val="left"/>
              <w:rPr>
                <w:rFonts w:hint="default" w:ascii="仿宋_GB2312" w:hAnsi="宋体" w:eastAsia="仿宋_GB2312"/>
                <w:b/>
                <w:bCs/>
                <w:kern w:val="0"/>
                <w:sz w:val="16"/>
                <w:szCs w:val="16"/>
                <w:lang w:val="en-US" w:eastAsia="zh-CN"/>
              </w:rPr>
            </w:pPr>
            <w:r>
              <w:rPr>
                <w:rFonts w:hint="eastAsia" w:ascii="仿宋_GB2312" w:eastAsia="仿宋_GB2312"/>
                <w:color w:val="auto"/>
                <w:sz w:val="20"/>
                <w:szCs w:val="20"/>
                <w:highlight w:val="none"/>
                <w:lang w:val="en-US" w:eastAsia="zh-CN"/>
              </w:rPr>
              <w:t>02</w:t>
            </w:r>
          </w:p>
        </w:tc>
        <w:tc>
          <w:tcPr>
            <w:tcW w:w="931" w:type="dxa"/>
            <w:vAlign w:val="center"/>
          </w:tcPr>
          <w:p>
            <w:pPr>
              <w:jc w:val="left"/>
              <w:rPr>
                <w:rFonts w:ascii="仿宋_GB2312" w:hAnsi="宋体" w:eastAsia="仿宋_GB2312"/>
                <w:kern w:val="0"/>
                <w:sz w:val="16"/>
                <w:szCs w:val="16"/>
              </w:rPr>
            </w:pPr>
          </w:p>
        </w:tc>
        <w:tc>
          <w:tcPr>
            <w:tcW w:w="931"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政协事务</w:t>
            </w:r>
          </w:p>
        </w:tc>
        <w:tc>
          <w:tcPr>
            <w:tcW w:w="1198" w:type="dxa"/>
            <w:vAlign w:val="center"/>
          </w:tcPr>
          <w:p>
            <w:pPr>
              <w:jc w:val="left"/>
            </w:pPr>
          </w:p>
        </w:tc>
        <w:tc>
          <w:tcPr>
            <w:tcW w:w="931" w:type="dxa"/>
            <w:vAlign w:val="center"/>
          </w:tcPr>
          <w:p>
            <w:pPr>
              <w:jc w:val="right"/>
            </w:pPr>
            <w:r>
              <w:rPr>
                <w:rFonts w:hint="eastAsia" w:ascii="仿宋_GB2312" w:eastAsia="仿宋_GB2312"/>
                <w:color w:val="auto"/>
                <w:sz w:val="20"/>
                <w:szCs w:val="20"/>
                <w:highlight w:val="none"/>
                <w:lang w:val="en-US" w:eastAsia="zh-CN"/>
              </w:rPr>
              <w:t>24.00</w:t>
            </w:r>
          </w:p>
        </w:tc>
        <w:tc>
          <w:tcPr>
            <w:tcW w:w="931" w:type="dxa"/>
            <w:vAlign w:val="center"/>
          </w:tcPr>
          <w:p>
            <w:pPr>
              <w:jc w:val="right"/>
              <w:rPr>
                <w:rFonts w:ascii="仿宋_GB2312" w:hAnsi="宋体" w:eastAsia="仿宋_GB2312" w:cs="宋体"/>
                <w:kern w:val="0"/>
                <w:sz w:val="16"/>
                <w:szCs w:val="16"/>
              </w:rPr>
            </w:pPr>
            <w:r>
              <w:rPr>
                <w:rFonts w:hint="eastAsia" w:ascii="仿宋_GB2312" w:eastAsia="仿宋_GB2312"/>
                <w:color w:val="auto"/>
                <w:sz w:val="20"/>
                <w:szCs w:val="20"/>
                <w:highlight w:val="none"/>
                <w:lang w:val="en-US" w:eastAsia="zh-CN"/>
              </w:rPr>
              <w:t>23.98</w:t>
            </w: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rPr>
                <w:rFonts w:ascii="仿宋_GB2312" w:hAnsi="宋体" w:eastAsia="仿宋_GB2312" w:cs="宋体"/>
                <w:kern w:val="0"/>
                <w:sz w:val="16"/>
                <w:szCs w:val="16"/>
                <w:lang w:val="en-US" w:eastAsia="zh-CN" w:bidi="ar-SA"/>
              </w:rPr>
            </w:pPr>
            <w:r>
              <w:rPr>
                <w:rFonts w:hint="eastAsia" w:ascii="仿宋_GB2312" w:eastAsia="仿宋_GB2312"/>
                <w:color w:val="auto"/>
                <w:sz w:val="20"/>
                <w:szCs w:val="20"/>
                <w:highlight w:val="none"/>
                <w:lang w:val="en-US" w:eastAsia="zh-CN"/>
              </w:rPr>
              <w:t>23.98</w:t>
            </w: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201</w:t>
            </w:r>
          </w:p>
        </w:tc>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02</w:t>
            </w:r>
          </w:p>
        </w:tc>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99</w:t>
            </w:r>
          </w:p>
        </w:tc>
        <w:tc>
          <w:tcPr>
            <w:tcW w:w="931"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其他政协事务支出</w:t>
            </w:r>
          </w:p>
        </w:tc>
        <w:tc>
          <w:tcPr>
            <w:tcW w:w="1198" w:type="dxa"/>
            <w:vAlign w:val="center"/>
          </w:tcPr>
          <w:p>
            <w:pPr>
              <w:keepNext w:val="0"/>
              <w:keepLines w:val="0"/>
              <w:widowControl/>
              <w:suppressLineNumbers w:val="0"/>
              <w:jc w:val="left"/>
              <w:textAlignment w:val="center"/>
            </w:pPr>
            <w:r>
              <w:rPr>
                <w:rFonts w:hint="eastAsia" w:ascii="仿宋_GB2312" w:eastAsia="仿宋_GB2312"/>
                <w:color w:val="auto"/>
                <w:sz w:val="20"/>
                <w:szCs w:val="20"/>
                <w:highlight w:val="none"/>
                <w:lang w:val="en-US" w:eastAsia="zh-CN"/>
              </w:rPr>
              <w:t>特定类-政协委员活动经费</w:t>
            </w:r>
          </w:p>
        </w:tc>
        <w:tc>
          <w:tcPr>
            <w:tcW w:w="931" w:type="dxa"/>
            <w:vAlign w:val="center"/>
          </w:tcPr>
          <w:p>
            <w:pPr>
              <w:jc w:val="right"/>
              <w:rPr>
                <w:rFonts w:hint="default" w:eastAsiaTheme="minorEastAsia"/>
                <w:lang w:val="en-US" w:eastAsia="zh-CN"/>
              </w:rPr>
            </w:pPr>
            <w:r>
              <w:rPr>
                <w:rFonts w:hint="eastAsia" w:ascii="仿宋_GB2312" w:eastAsia="仿宋_GB2312"/>
                <w:color w:val="auto"/>
                <w:sz w:val="20"/>
                <w:szCs w:val="20"/>
                <w:highlight w:val="none"/>
                <w:lang w:val="en-US" w:eastAsia="zh-CN"/>
              </w:rPr>
              <w:t>14.00</w:t>
            </w:r>
          </w:p>
        </w:tc>
        <w:tc>
          <w:tcPr>
            <w:tcW w:w="931" w:type="dxa"/>
            <w:vAlign w:val="center"/>
          </w:tcPr>
          <w:p>
            <w:pPr>
              <w:jc w:val="right"/>
              <w:rPr>
                <w:rFonts w:ascii="仿宋_GB2312" w:hAnsi="宋体" w:eastAsia="仿宋_GB2312" w:cs="宋体"/>
                <w:kern w:val="0"/>
                <w:sz w:val="16"/>
                <w:szCs w:val="16"/>
              </w:rPr>
            </w:pPr>
            <w:r>
              <w:rPr>
                <w:rFonts w:hint="eastAsia" w:ascii="仿宋_GB2312" w:eastAsia="仿宋_GB2312"/>
                <w:color w:val="auto"/>
                <w:sz w:val="20"/>
                <w:szCs w:val="20"/>
                <w:highlight w:val="none"/>
                <w:lang w:val="en-US" w:eastAsia="zh-CN"/>
              </w:rPr>
              <w:t>14.00</w:t>
            </w: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rPr>
                <w:rFonts w:ascii="仿宋_GB2312" w:hAnsi="宋体" w:eastAsia="仿宋_GB2312" w:cs="宋体"/>
                <w:kern w:val="0"/>
                <w:sz w:val="16"/>
                <w:szCs w:val="16"/>
                <w:lang w:val="en-US" w:eastAsia="zh-CN" w:bidi="ar-SA"/>
              </w:rPr>
            </w:pPr>
            <w:r>
              <w:rPr>
                <w:rFonts w:hint="eastAsia" w:ascii="仿宋_GB2312" w:eastAsia="仿宋_GB2312"/>
                <w:color w:val="auto"/>
                <w:sz w:val="20"/>
                <w:szCs w:val="20"/>
                <w:highlight w:val="none"/>
                <w:lang w:val="en-US" w:eastAsia="zh-CN"/>
              </w:rPr>
              <w:t>14.00</w:t>
            </w: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201</w:t>
            </w:r>
          </w:p>
        </w:tc>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02</w:t>
            </w:r>
          </w:p>
        </w:tc>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99</w:t>
            </w:r>
          </w:p>
        </w:tc>
        <w:tc>
          <w:tcPr>
            <w:tcW w:w="931"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其他政协事务支出</w:t>
            </w:r>
          </w:p>
        </w:tc>
        <w:tc>
          <w:tcPr>
            <w:tcW w:w="1198" w:type="dxa"/>
            <w:vAlign w:val="center"/>
          </w:tcPr>
          <w:p>
            <w:pPr>
              <w:keepNext w:val="0"/>
              <w:keepLines w:val="0"/>
              <w:widowControl/>
              <w:suppressLineNumbers w:val="0"/>
              <w:jc w:val="left"/>
              <w:textAlignment w:val="center"/>
            </w:pPr>
            <w:r>
              <w:rPr>
                <w:rFonts w:hint="eastAsia" w:ascii="仿宋_GB2312" w:eastAsia="仿宋_GB2312"/>
                <w:color w:val="auto"/>
                <w:sz w:val="20"/>
                <w:szCs w:val="20"/>
                <w:highlight w:val="none"/>
                <w:lang w:val="en-US" w:eastAsia="zh-CN"/>
              </w:rPr>
              <w:t>特定类-政协会议经费</w:t>
            </w:r>
          </w:p>
        </w:tc>
        <w:tc>
          <w:tcPr>
            <w:tcW w:w="931" w:type="dxa"/>
            <w:vAlign w:val="center"/>
          </w:tcPr>
          <w:p>
            <w:pPr>
              <w:jc w:val="right"/>
              <w:rPr>
                <w:rFonts w:hint="default" w:eastAsiaTheme="minorEastAsia"/>
                <w:lang w:val="en-US" w:eastAsia="zh-CN"/>
              </w:rPr>
            </w:pPr>
            <w:r>
              <w:rPr>
                <w:rFonts w:hint="eastAsia" w:ascii="仿宋_GB2312" w:eastAsia="仿宋_GB2312"/>
                <w:color w:val="auto"/>
                <w:sz w:val="20"/>
                <w:szCs w:val="20"/>
                <w:highlight w:val="none"/>
                <w:lang w:val="en-US" w:eastAsia="zh-CN"/>
              </w:rPr>
              <w:t>10.00</w:t>
            </w:r>
          </w:p>
        </w:tc>
        <w:tc>
          <w:tcPr>
            <w:tcW w:w="931"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9.98</w:t>
            </w:r>
          </w:p>
        </w:tc>
        <w:tc>
          <w:tcPr>
            <w:tcW w:w="931" w:type="dxa"/>
            <w:vAlign w:val="center"/>
          </w:tcPr>
          <w:p>
            <w:pPr>
              <w:jc w:val="right"/>
              <w:rPr>
                <w:rFonts w:hint="eastAsia" w:ascii="仿宋_GB2312" w:eastAsia="仿宋_GB2312"/>
                <w:color w:val="auto"/>
                <w:sz w:val="20"/>
                <w:szCs w:val="20"/>
                <w:highlight w:val="none"/>
                <w:lang w:val="en-US" w:eastAsia="zh-CN"/>
              </w:rPr>
            </w:pPr>
          </w:p>
        </w:tc>
        <w:tc>
          <w:tcPr>
            <w:tcW w:w="931" w:type="dxa"/>
            <w:vAlign w:val="center"/>
          </w:tcPr>
          <w:p>
            <w:pPr>
              <w:jc w:val="right"/>
              <w:rPr>
                <w:rFonts w:hint="default"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9.98</w:t>
            </w: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left"/>
              <w:rPr>
                <w:rFonts w:hint="default" w:ascii="仿宋_GB2312" w:hAnsi="宋体" w:eastAsia="仿宋_GB2312"/>
                <w:kern w:val="0"/>
                <w:sz w:val="16"/>
                <w:szCs w:val="16"/>
                <w:lang w:val="en-US" w:eastAsia="zh-CN"/>
              </w:rPr>
            </w:pPr>
          </w:p>
        </w:tc>
        <w:tc>
          <w:tcPr>
            <w:tcW w:w="931" w:type="dxa"/>
            <w:vAlign w:val="center"/>
          </w:tcPr>
          <w:p>
            <w:pPr>
              <w:jc w:val="left"/>
              <w:rPr>
                <w:rFonts w:ascii="仿宋_GB2312" w:hAnsi="宋体" w:eastAsia="仿宋_GB2312"/>
                <w:kern w:val="0"/>
                <w:sz w:val="16"/>
                <w:szCs w:val="16"/>
              </w:rPr>
            </w:pPr>
          </w:p>
        </w:tc>
        <w:tc>
          <w:tcPr>
            <w:tcW w:w="931" w:type="dxa"/>
            <w:vAlign w:val="center"/>
          </w:tcPr>
          <w:p>
            <w:pPr>
              <w:jc w:val="left"/>
              <w:rPr>
                <w:rFonts w:ascii="仿宋_GB2312" w:hAnsi="宋体" w:eastAsia="仿宋_GB2312"/>
                <w:kern w:val="0"/>
                <w:sz w:val="16"/>
                <w:szCs w:val="16"/>
              </w:rPr>
            </w:pPr>
          </w:p>
        </w:tc>
        <w:tc>
          <w:tcPr>
            <w:tcW w:w="931"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hAnsi="宋体" w:eastAsia="仿宋_GB2312" w:cs="仿宋_GB2312"/>
                <w:i w:val="0"/>
                <w:color w:val="000000"/>
                <w:kern w:val="0"/>
                <w:sz w:val="20"/>
                <w:szCs w:val="20"/>
                <w:u w:val="none"/>
                <w:lang w:val="en-US" w:eastAsia="zh-CN" w:bidi="ar"/>
              </w:rPr>
              <w:t>合计</w:t>
            </w:r>
          </w:p>
        </w:tc>
        <w:tc>
          <w:tcPr>
            <w:tcW w:w="1198" w:type="dxa"/>
            <w:vAlign w:val="center"/>
          </w:tcPr>
          <w:p>
            <w:pPr>
              <w:jc w:val="left"/>
            </w:pPr>
          </w:p>
        </w:tc>
        <w:tc>
          <w:tcPr>
            <w:tcW w:w="931" w:type="dxa"/>
            <w:vAlign w:val="center"/>
          </w:tcPr>
          <w:p>
            <w:pPr>
              <w:jc w:val="right"/>
              <w:rPr>
                <w:rFonts w:hint="default" w:eastAsiaTheme="minorEastAsia"/>
                <w:lang w:val="en-US" w:eastAsia="zh-CN"/>
              </w:rPr>
            </w:pPr>
            <w:r>
              <w:rPr>
                <w:rFonts w:hint="eastAsia" w:ascii="仿宋_GB2312" w:eastAsia="仿宋_GB2312"/>
                <w:color w:val="auto"/>
                <w:sz w:val="20"/>
                <w:szCs w:val="20"/>
                <w:highlight w:val="none"/>
                <w:lang w:val="en-US" w:eastAsia="zh-CN"/>
              </w:rPr>
              <w:t>24.00</w:t>
            </w:r>
          </w:p>
        </w:tc>
        <w:tc>
          <w:tcPr>
            <w:tcW w:w="931" w:type="dxa"/>
            <w:vAlign w:val="center"/>
          </w:tcPr>
          <w:p>
            <w:pPr>
              <w:jc w:val="right"/>
              <w:rPr>
                <w:rFonts w:ascii="仿宋_GB2312" w:hAnsi="宋体" w:eastAsia="仿宋_GB2312" w:cs="宋体"/>
                <w:kern w:val="0"/>
                <w:sz w:val="16"/>
                <w:szCs w:val="16"/>
              </w:rPr>
            </w:pPr>
            <w:r>
              <w:rPr>
                <w:rFonts w:hint="eastAsia" w:ascii="仿宋_GB2312" w:eastAsia="仿宋_GB2312"/>
                <w:color w:val="auto"/>
                <w:sz w:val="20"/>
                <w:szCs w:val="20"/>
                <w:highlight w:val="none"/>
                <w:lang w:val="en-US" w:eastAsia="zh-CN"/>
              </w:rPr>
              <w:t>23.98</w:t>
            </w: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rPr>
                <w:rFonts w:ascii="仿宋_GB2312" w:hAnsi="宋体" w:eastAsia="仿宋_GB2312" w:cs="宋体"/>
                <w:kern w:val="0"/>
                <w:sz w:val="16"/>
                <w:szCs w:val="16"/>
                <w:lang w:val="en-US" w:eastAsia="zh-CN" w:bidi="ar-SA"/>
              </w:rPr>
            </w:pPr>
            <w:r>
              <w:rPr>
                <w:rFonts w:hint="eastAsia" w:ascii="仿宋_GB2312" w:eastAsia="仿宋_GB2312"/>
                <w:color w:val="auto"/>
                <w:sz w:val="20"/>
                <w:szCs w:val="20"/>
                <w:highlight w:val="none"/>
                <w:lang w:val="en-US" w:eastAsia="zh-CN"/>
              </w:rPr>
              <w:t>23.98</w:t>
            </w: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bl>
    <w:p>
      <w:pPr>
        <w:rPr>
          <w:rFonts w:hint="eastAsia" w:ascii="仿宋_GB2312" w:hAnsi="仿宋_GB2312" w:eastAsia="仿宋_GB2312" w:cs="仿宋_GB2312"/>
          <w:spacing w:val="18"/>
          <w:sz w:val="32"/>
          <w:szCs w:val="32"/>
          <w:lang w:val="en-US" w:eastAsia="zh-CN"/>
        </w:rPr>
        <w:sectPr>
          <w:pgSz w:w="16838" w:h="11906" w:orient="landscape"/>
          <w:pgMar w:top="1800" w:right="1440" w:bottom="1800" w:left="1440" w:header="851" w:footer="992" w:gutter="0"/>
          <w:cols w:space="425" w:num="1"/>
          <w:docGrid w:type="lines" w:linePitch="312" w:charSpace="0"/>
        </w:sectPr>
      </w:pPr>
    </w:p>
    <w:p>
      <w:pPr>
        <w:rPr>
          <w:rFonts w:hint="eastAsia" w:ascii="仿宋_GB2312" w:hAnsi="仿宋_GB2312" w:eastAsia="仿宋_GB2312" w:cs="仿宋_GB2312"/>
          <w:spacing w:val="18"/>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w:t>
      </w:r>
    </w:p>
    <w:tbl>
      <w:tblPr>
        <w:tblStyle w:val="3"/>
        <w:tblW w:w="892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01"/>
        <w:gridCol w:w="1328"/>
        <w:gridCol w:w="966"/>
        <w:gridCol w:w="795"/>
        <w:gridCol w:w="828"/>
        <w:gridCol w:w="1291"/>
        <w:gridCol w:w="972"/>
        <w:gridCol w:w="971"/>
        <w:gridCol w:w="8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693"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rPr>
              <w:t>中国人民政治协商会议新疆维吾尔自治区哈密市伊州区委员会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58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rPr>
              <w:t>特定类-政协会议经费</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84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rPr>
              <w:t>吐尔逊·赛麦提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9.98</w:t>
            </w:r>
          </w:p>
        </w:tc>
        <w:tc>
          <w:tcPr>
            <w:tcW w:w="828"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9.98</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84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693" w:type="dxa"/>
            <w:gridSpan w:val="7"/>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top"/>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rPr>
              <w:t>政协会议经费项目总资金</w:t>
            </w:r>
            <w:r>
              <w:rPr>
                <w:rFonts w:hint="eastAsia" w:ascii="宋体" w:hAnsi="宋体" w:eastAsia="宋体" w:cs="宋体"/>
                <w:i w:val="0"/>
                <w:color w:val="000000"/>
                <w:sz w:val="18"/>
                <w:szCs w:val="18"/>
                <w:u w:val="none"/>
                <w:lang w:val="en-US" w:eastAsia="zh-CN"/>
              </w:rPr>
              <w:t>9.98</w:t>
            </w:r>
            <w:r>
              <w:rPr>
                <w:rFonts w:hint="eastAsia" w:ascii="宋体" w:hAnsi="宋体" w:eastAsia="宋体" w:cs="宋体"/>
                <w:i w:val="0"/>
                <w:color w:val="000000"/>
                <w:sz w:val="18"/>
                <w:szCs w:val="18"/>
                <w:u w:val="none"/>
              </w:rPr>
              <w:t>万元，应到参会委员172人。该项目保障区二届四次政协会议顺利召开。提案委员会按照区提案工作条例和重点提案遴选与督办规则，落实党委、政府、督办的重点提案制度。通过会议将党的各项方针政策宣传贯彻到各领域，加强政协思想引领，承担起协商议政、凝聚共识重要平台。充分发挥政治协商制度，推动协商成果更好转化决策参考、政策措施和工作举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32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66"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795"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82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129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7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7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87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32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政协会议次数</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=1次</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1次</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8</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直接赋分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132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参会政协委员人数</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rPr>
              <w:t>=1</w:t>
            </w:r>
            <w:r>
              <w:rPr>
                <w:rFonts w:hint="eastAsia" w:ascii="宋体" w:hAnsi="宋体" w:eastAsia="宋体" w:cs="宋体"/>
                <w:i w:val="0"/>
                <w:color w:val="000000"/>
                <w:sz w:val="20"/>
                <w:szCs w:val="20"/>
                <w:u w:val="none"/>
                <w:lang w:val="en-US" w:eastAsia="zh-CN"/>
              </w:rPr>
              <w:t>72人</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8</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直接赋分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p>
        </w:tc>
        <w:tc>
          <w:tcPr>
            <w:tcW w:w="132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会议天数</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=3天</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8</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直接赋分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政协委员参会率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&gt;=90%</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95%</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8</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按照正常比例赋分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会议按期完成率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=100%</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8</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按照正常比例赋分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32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农民委员务工补助</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=60元/天/人</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60元/天/人</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直接赋分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p>
        </w:tc>
        <w:tc>
          <w:tcPr>
            <w:tcW w:w="132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会议人均成本</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=200元/天/人</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宋体" w:hAnsi="宋体" w:eastAsia="宋体" w:cs="宋体"/>
                <w:i w:val="0"/>
                <w:color w:val="000000"/>
                <w:sz w:val="20"/>
                <w:szCs w:val="20"/>
                <w:u w:val="none"/>
                <w:lang w:val="en-US" w:eastAsia="zh-CN"/>
              </w:rPr>
            </w:pPr>
            <w:r>
              <w:rPr>
                <w:rFonts w:hint="default" w:ascii="宋体" w:hAnsi="宋体" w:eastAsia="宋体" w:cs="宋体"/>
                <w:i w:val="0"/>
                <w:color w:val="000000"/>
                <w:sz w:val="20"/>
                <w:szCs w:val="20"/>
                <w:u w:val="none"/>
                <w:lang w:val="en-US" w:eastAsia="zh-CN"/>
              </w:rPr>
              <w:t>180元/天/人</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直接赋分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效益指标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促进社会经济发展</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有效促进</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rPr>
              <w:t>有效促进</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直接赋分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参会委员满意度</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&gt;=95%</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计划标准</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按照正常比例赋分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rPr>
              <w:t>工作资料</w:t>
            </w:r>
          </w:p>
        </w:tc>
      </w:tr>
    </w:tbl>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tbl>
      <w:tblPr>
        <w:tblStyle w:val="3"/>
        <w:tblW w:w="9400" w:type="dxa"/>
        <w:tblInd w:w="-37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40"/>
        <w:gridCol w:w="800"/>
        <w:gridCol w:w="1680"/>
        <w:gridCol w:w="800"/>
        <w:gridCol w:w="940"/>
        <w:gridCol w:w="820"/>
        <w:gridCol w:w="720"/>
        <w:gridCol w:w="1340"/>
        <w:gridCol w:w="12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5" w:hRule="atLeast"/>
        </w:trPr>
        <w:tc>
          <w:tcPr>
            <w:tcW w:w="940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40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中国人民政治协商会议新疆维吾尔自治区哈密市伊州区委员会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4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特定类-政协委员活动经费</w:t>
            </w:r>
          </w:p>
        </w:tc>
        <w:tc>
          <w:tcPr>
            <w:tcW w:w="15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吐尔逊·赛麦提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94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560"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协委员活动经费财政拨款14万元。用于闭会期间组织区政协委员开展活动的经费保障。委员开展视察、调研、民主监督、撰写提案和社情民意信息，大会发言等活动发生的通讯、交通及差旅费、印刷费工作餐费、组织委员培训学习，政协委员活动室建设和开展活动费。全面增强委员履职本领，更好为区委、区政府科学决策、有效实施提供参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0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6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7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3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2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专题协商会议次数</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&gt;=2次</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界别月度协商座谈会次数</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&gt;=8次</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提案办理协商座谈会</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&gt;=20场</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委员会议出勤率</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调研报告合格率</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会议召开及时率</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调研报告完成及时率</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政协委员活动费</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&lt;=14万</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提升政协委员履职水平和解决群众反映问题的能力</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有效提升</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其他标准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协商成果转化率</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4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0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8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0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4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2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2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4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bl>
    <w:p>
      <w:pPr>
        <w:rPr>
          <w:rFonts w:hint="eastAsia" w:ascii="仿宋_GB2312" w:hAnsi="仿宋_GB2312" w:eastAsia="仿宋_GB2312" w:cs="仿宋_GB2312"/>
          <w:spacing w:val="18"/>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AE5875"/>
    <w:multiLevelType w:val="singleLevel"/>
    <w:tmpl w:val="B7AE587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743628"/>
    <w:rsid w:val="03EB26AF"/>
    <w:rsid w:val="05274B53"/>
    <w:rsid w:val="09573962"/>
    <w:rsid w:val="09FF5117"/>
    <w:rsid w:val="0A8A3F4F"/>
    <w:rsid w:val="0C7565A8"/>
    <w:rsid w:val="0D547F42"/>
    <w:rsid w:val="10573940"/>
    <w:rsid w:val="131960AB"/>
    <w:rsid w:val="14632B75"/>
    <w:rsid w:val="1BE55050"/>
    <w:rsid w:val="1C335508"/>
    <w:rsid w:val="1E8670E5"/>
    <w:rsid w:val="1E8C3A51"/>
    <w:rsid w:val="1F945345"/>
    <w:rsid w:val="21383383"/>
    <w:rsid w:val="22AA5687"/>
    <w:rsid w:val="22E65A86"/>
    <w:rsid w:val="24C538F5"/>
    <w:rsid w:val="2AD20F52"/>
    <w:rsid w:val="32286003"/>
    <w:rsid w:val="369804F9"/>
    <w:rsid w:val="37EB4D5C"/>
    <w:rsid w:val="3F2A1D89"/>
    <w:rsid w:val="3FB06A0C"/>
    <w:rsid w:val="43EB39D1"/>
    <w:rsid w:val="44B94F88"/>
    <w:rsid w:val="45337098"/>
    <w:rsid w:val="45C21DFF"/>
    <w:rsid w:val="470B23FB"/>
    <w:rsid w:val="521E745D"/>
    <w:rsid w:val="5D29180F"/>
    <w:rsid w:val="5DDF6C48"/>
    <w:rsid w:val="5F6403FD"/>
    <w:rsid w:val="69120F91"/>
    <w:rsid w:val="69A63060"/>
    <w:rsid w:val="6BD65F3E"/>
    <w:rsid w:val="6DAC0CFD"/>
    <w:rsid w:val="74126D24"/>
    <w:rsid w:val="790E2F6A"/>
    <w:rsid w:val="7ED37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character" w:customStyle="1" w:styleId="5">
    <w:name w:val="font11"/>
    <w:basedOn w:val="4"/>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4</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2024-05-10T03:22:00Z</dcterms:created>
  <dc:creator>YuSuan</dc:creator>
  <cp:lastModifiedBy>YuSuan</cp:lastModifiedBy>
  <dcterms:modified xsi:type="dcterms:W3CDTF">2024-07-09T09:19:48Z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007E44D1EB7B4FE7A1319FC1C928B0DE</vt:lpwstr>
  </property>
</Properties>
</file>