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0" w:firstLineChars="200"/>
        <w:rPr>
          <w:rFonts w:hint="eastAsia" w:ascii="仿宋_GB2312" w:hAnsi="仿宋_GB2312" w:eastAsia="仿宋_GB2312" w:cs="仿宋_GB2312"/>
          <w:spacing w:val="5"/>
          <w:sz w:val="32"/>
          <w:szCs w:val="32"/>
        </w:rPr>
      </w:pPr>
    </w:p>
    <w:p>
      <w:pPr>
        <w:widowControl/>
        <w:spacing w:before="100" w:beforeAutospacing="1" w:after="100" w:afterAutospacing="1"/>
        <w:jc w:val="center"/>
        <w:outlineLvl w:val="1"/>
        <w:rPr>
          <w:rFonts w:hint="default" w:ascii="宋体" w:eastAsia="方正小标宋_GBK"/>
          <w:b/>
          <w:bCs/>
          <w:kern w:val="0"/>
          <w:sz w:val="44"/>
          <w:szCs w:val="44"/>
          <w:lang w:val="en-US" w:eastAsia="zh-CN"/>
        </w:rPr>
      </w:pPr>
      <w:r>
        <w:rPr>
          <w:rFonts w:hint="eastAsia" w:ascii="方正小标宋_GBK" w:hAnsi="宋体" w:eastAsia="方正小标宋_GBK" w:cs="方正小标宋_GBK"/>
          <w:kern w:val="0"/>
          <w:sz w:val="44"/>
          <w:szCs w:val="44"/>
          <w:lang w:val="en-US" w:eastAsia="zh-CN"/>
        </w:rPr>
        <w:t>关于中</w:t>
      </w:r>
      <w:bookmarkStart w:id="0" w:name="_GoBack"/>
      <w:r>
        <w:rPr>
          <w:rFonts w:hint="eastAsia" w:ascii="方正小标宋_GBK" w:hAnsi="宋体" w:eastAsia="方正小标宋_GBK" w:cs="方正小标宋_GBK"/>
          <w:kern w:val="0"/>
          <w:sz w:val="44"/>
          <w:szCs w:val="44"/>
          <w:lang w:val="en-US" w:eastAsia="zh-CN"/>
        </w:rPr>
        <w:t>共哈密市</w:t>
      </w:r>
      <w:r>
        <w:rPr>
          <w:rFonts w:hint="eastAsia" w:ascii="方正小标宋_GBK" w:hAnsi="宋体" w:eastAsia="方正小标宋_GBK" w:cs="方正小标宋_GBK"/>
          <w:kern w:val="0"/>
          <w:sz w:val="44"/>
          <w:szCs w:val="44"/>
        </w:rPr>
        <w:t>伊州区</w:t>
      </w:r>
      <w:r>
        <w:rPr>
          <w:rFonts w:hint="eastAsia" w:ascii="方正小标宋_GBK" w:hAnsi="宋体" w:eastAsia="方正小标宋_GBK" w:cs="方正小标宋_GBK"/>
          <w:kern w:val="0"/>
          <w:sz w:val="44"/>
          <w:szCs w:val="44"/>
          <w:lang w:val="en-US" w:eastAsia="zh-CN"/>
        </w:rPr>
        <w:t>委员会网络安全和信息化委员会办公室</w:t>
      </w: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年部门</w:t>
      </w:r>
      <w:r>
        <w:rPr>
          <w:rFonts w:hint="eastAsia" w:ascii="方正小标宋_GBK" w:hAnsi="宋体" w:eastAsia="方正小标宋_GBK"/>
          <w:kern w:val="0"/>
          <w:sz w:val="44"/>
          <w:szCs w:val="44"/>
          <w:lang w:val="en-US" w:eastAsia="zh-CN"/>
        </w:rPr>
        <w:t>调整</w:t>
      </w:r>
      <w:r>
        <w:rPr>
          <w:rFonts w:hint="eastAsia" w:ascii="方正小标宋_GBK" w:hAnsi="宋体" w:eastAsia="方正小标宋_GBK"/>
          <w:kern w:val="0"/>
          <w:sz w:val="44"/>
          <w:szCs w:val="44"/>
        </w:rPr>
        <w:t>预算公开</w:t>
      </w:r>
      <w:bookmarkEnd w:id="0"/>
      <w:r>
        <w:rPr>
          <w:rFonts w:hint="eastAsia" w:ascii="方正小标宋_GBK" w:hAnsi="宋体" w:eastAsia="方正小标宋_GBK"/>
          <w:kern w:val="0"/>
          <w:sz w:val="44"/>
          <w:szCs w:val="44"/>
          <w:lang w:val="en-US" w:eastAsia="zh-CN"/>
        </w:rPr>
        <w:t>的说明</w:t>
      </w:r>
    </w:p>
    <w:p>
      <w:pPr>
        <w:ind w:firstLine="660" w:firstLineChars="200"/>
        <w:rPr>
          <w:rFonts w:hint="eastAsia" w:ascii="仿宋_GB2312" w:hAnsi="仿宋_GB2312" w:eastAsia="仿宋_GB2312" w:cs="仿宋_GB2312"/>
          <w:spacing w:val="5"/>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63" w:firstLineChars="200"/>
        <w:textAlignment w:val="auto"/>
        <w:rPr>
          <w:rFonts w:hint="eastAsia" w:ascii="仿宋_GB2312" w:hAnsi="仿宋_GB2312" w:eastAsia="仿宋_GB2312" w:cs="仿宋_GB2312"/>
          <w:b/>
          <w:bCs/>
          <w:spacing w:val="5"/>
          <w:sz w:val="32"/>
          <w:szCs w:val="32"/>
          <w:lang w:val="en-US" w:eastAsia="zh-CN"/>
        </w:rPr>
      </w:pPr>
      <w:r>
        <w:rPr>
          <w:rFonts w:hint="eastAsia" w:ascii="仿宋_GB2312" w:hAnsi="仿宋_GB2312" w:eastAsia="仿宋_GB2312" w:cs="仿宋_GB2312"/>
          <w:b/>
          <w:bCs/>
          <w:spacing w:val="5"/>
          <w:sz w:val="32"/>
          <w:szCs w:val="32"/>
          <w:lang w:val="en-US" w:eastAsia="zh-CN"/>
        </w:rPr>
        <w:t>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eastAsia" w:ascii="仿宋_GB2312" w:hAnsi="仿宋_GB2312" w:eastAsia="仿宋_GB2312" w:cs="仿宋_GB2312"/>
          <w:spacing w:val="18"/>
          <w:sz w:val="32"/>
          <w:szCs w:val="32"/>
          <w:lang w:eastAsia="zh-CN"/>
        </w:rPr>
      </w:pPr>
      <w:r>
        <w:rPr>
          <w:rFonts w:hint="eastAsia" w:ascii="仿宋_GB2312" w:hAnsi="仿宋_GB2312" w:eastAsia="仿宋_GB2312" w:cs="仿宋_GB2312"/>
          <w:spacing w:val="5"/>
          <w:sz w:val="32"/>
          <w:szCs w:val="32"/>
        </w:rPr>
        <w:t>根据《</w:t>
      </w:r>
      <w:r>
        <w:rPr>
          <w:rFonts w:hint="eastAsia" w:ascii="仿宋_GB2312" w:hAnsi="仿宋_GB2312" w:eastAsia="仿宋_GB2312" w:cs="仿宋_GB2312"/>
          <w:spacing w:val="5"/>
          <w:sz w:val="32"/>
          <w:szCs w:val="32"/>
          <w:lang w:val="en-US" w:eastAsia="zh-CN"/>
        </w:rPr>
        <w:t>中华人民共和国</w:t>
      </w:r>
      <w:r>
        <w:rPr>
          <w:rFonts w:hint="eastAsia" w:ascii="仿宋_GB2312" w:hAnsi="仿宋_GB2312" w:eastAsia="仿宋_GB2312" w:cs="仿宋_GB2312"/>
          <w:spacing w:val="5"/>
          <w:sz w:val="32"/>
          <w:szCs w:val="32"/>
        </w:rPr>
        <w:t>预算</w:t>
      </w:r>
      <w:r>
        <w:rPr>
          <w:rFonts w:hint="eastAsia" w:ascii="仿宋_GB2312" w:hAnsi="仿宋_GB2312" w:eastAsia="仿宋_GB2312" w:cs="仿宋_GB2312"/>
          <w:spacing w:val="-3"/>
          <w:sz w:val="32"/>
          <w:szCs w:val="32"/>
        </w:rPr>
        <w:t>法》、《预算法实施条例》</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经伊州区二届人大常委会第二十二次会议批准</w:t>
      </w:r>
      <w:r>
        <w:rPr>
          <w:rFonts w:hint="eastAsia" w:ascii="仿宋_GB2312" w:hAnsi="仿宋_GB2312" w:eastAsia="仿宋_GB2312" w:cs="仿宋_GB2312"/>
          <w:spacing w:val="-3"/>
          <w:sz w:val="32"/>
          <w:szCs w:val="32"/>
        </w:rPr>
        <w:t>，202</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18"/>
          <w:sz w:val="32"/>
          <w:szCs w:val="32"/>
        </w:rPr>
        <w:t>年</w:t>
      </w:r>
      <w:r>
        <w:rPr>
          <w:rFonts w:hint="eastAsia" w:ascii="仿宋_GB2312" w:hAnsi="仿宋_GB2312" w:eastAsia="仿宋_GB2312" w:cs="仿宋_GB2312"/>
          <w:spacing w:val="18"/>
          <w:sz w:val="32"/>
          <w:szCs w:val="32"/>
          <w:lang w:val="en-US" w:eastAsia="zh-CN"/>
        </w:rPr>
        <w:t>我单位</w:t>
      </w:r>
      <w:r>
        <w:rPr>
          <w:rFonts w:hint="eastAsia" w:ascii="仿宋_GB2312" w:hAnsi="仿宋_GB2312" w:eastAsia="仿宋_GB2312" w:cs="仿宋_GB2312"/>
          <w:color w:val="auto"/>
          <w:spacing w:val="18"/>
          <w:sz w:val="32"/>
          <w:szCs w:val="32"/>
          <w:highlight w:val="none"/>
          <w:lang w:val="en-US" w:eastAsia="zh-CN"/>
        </w:rPr>
        <w:t>项目支出由年初0万元调整为43万元</w:t>
      </w:r>
      <w:r>
        <w:rPr>
          <w:rFonts w:hint="eastAsia" w:ascii="仿宋_GB2312" w:hAnsi="仿宋_GB2312" w:eastAsia="仿宋_GB2312" w:cs="仿宋_GB2312"/>
          <w:color w:val="auto"/>
          <w:spacing w:val="18"/>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15" w:firstLineChars="200"/>
        <w:textAlignment w:val="auto"/>
        <w:rPr>
          <w:rFonts w:hint="eastAsia" w:ascii="仿宋_GB2312" w:hAnsi="仿宋_GB2312" w:eastAsia="仿宋_GB2312" w:cs="仿宋_GB2312"/>
          <w:b/>
          <w:bCs/>
          <w:spacing w:val="18"/>
          <w:sz w:val="32"/>
          <w:szCs w:val="32"/>
          <w:lang w:val="en-US" w:eastAsia="zh-CN"/>
        </w:rPr>
      </w:pPr>
      <w:r>
        <w:rPr>
          <w:rFonts w:hint="eastAsia" w:ascii="仿宋_GB2312" w:hAnsi="仿宋_GB2312" w:eastAsia="仿宋_GB2312" w:cs="仿宋_GB2312"/>
          <w:b/>
          <w:bCs/>
          <w:spacing w:val="18"/>
          <w:sz w:val="32"/>
          <w:szCs w:val="32"/>
          <w:lang w:val="en-US" w:eastAsia="zh-CN"/>
        </w:rPr>
        <w:t>绩效目标调整情况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因项目金额发生变化，原项目绩效目标同步调整。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 xml:space="preserve">  具体情况详见附件。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default"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附件一：伊州区中共哈密市伊州区委员会网络安全和信息化委员会办公室项目支出表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附件二：项目绩效目标调整情况表（与原项目绩效目标表表样相同）</w:t>
      </w:r>
    </w:p>
    <w:p>
      <w:pPr>
        <w:rPr>
          <w:rFonts w:hint="eastAsia" w:ascii="仿宋_GB2312" w:hAnsi="仿宋_GB2312" w:eastAsia="仿宋_GB2312" w:cs="仿宋_GB2312"/>
          <w:spacing w:val="18"/>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pacing w:val="18"/>
          <w:sz w:val="32"/>
          <w:szCs w:val="32"/>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w:t>
      </w:r>
    </w:p>
    <w:tbl>
      <w:tblPr>
        <w:tblStyle w:val="3"/>
        <w:tblW w:w="15129" w:type="dxa"/>
        <w:jc w:val="center"/>
        <w:tblInd w:w="0" w:type="dxa"/>
        <w:tblLayout w:type="fixed"/>
        <w:tblCellMar>
          <w:top w:w="0" w:type="dxa"/>
          <w:left w:w="108" w:type="dxa"/>
          <w:bottom w:w="0" w:type="dxa"/>
          <w:right w:w="108" w:type="dxa"/>
        </w:tblCellMar>
      </w:tblPr>
      <w:tblGrid>
        <w:gridCol w:w="600"/>
        <w:gridCol w:w="517"/>
        <w:gridCol w:w="683"/>
        <w:gridCol w:w="1793"/>
        <w:gridCol w:w="1514"/>
        <w:gridCol w:w="746"/>
        <w:gridCol w:w="931"/>
        <w:gridCol w:w="931"/>
        <w:gridCol w:w="931"/>
        <w:gridCol w:w="931"/>
        <w:gridCol w:w="932"/>
        <w:gridCol w:w="658"/>
        <w:gridCol w:w="274"/>
        <w:gridCol w:w="766"/>
        <w:gridCol w:w="730"/>
        <w:gridCol w:w="730"/>
        <w:gridCol w:w="731"/>
        <w:gridCol w:w="731"/>
      </w:tblGrid>
      <w:tr>
        <w:tblPrEx>
          <w:tblLayout w:type="fixed"/>
          <w:tblCellMar>
            <w:top w:w="0" w:type="dxa"/>
            <w:left w:w="108" w:type="dxa"/>
            <w:bottom w:w="0" w:type="dxa"/>
            <w:right w:w="108" w:type="dxa"/>
          </w:tblCellMar>
        </w:tblPrEx>
        <w:trPr>
          <w:trHeight w:val="476" w:hRule="atLeast"/>
          <w:jc w:val="center"/>
        </w:trPr>
        <w:tc>
          <w:tcPr>
            <w:tcW w:w="11441" w:type="dxa"/>
            <w:gridSpan w:val="13"/>
            <w:tcBorders>
              <w:top w:val="nil"/>
              <w:left w:val="nil"/>
              <w:bottom w:val="nil"/>
              <w:right w:val="nil"/>
            </w:tcBorders>
            <w:vAlign w:val="center"/>
          </w:tcPr>
          <w:p>
            <w:pPr>
              <w:keepNext w:val="0"/>
              <w:keepLines w:val="0"/>
              <w:widowControl/>
              <w:suppressLineNumbers w:val="0"/>
              <w:jc w:val="left"/>
              <w:textAlignment w:val="center"/>
              <w:rPr>
                <w:rFonts w:hint="eastAsia"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编制部门:</w:t>
            </w:r>
            <w:r>
              <w:rPr>
                <w:rFonts w:hint="eastAsia" w:ascii="仿宋_GB2312" w:hAnsi="仿宋_GB2312" w:eastAsia="仿宋_GB2312" w:cs="仿宋_GB2312"/>
                <w:spacing w:val="18"/>
                <w:sz w:val="32"/>
                <w:szCs w:val="32"/>
                <w:lang w:val="en-US" w:eastAsia="zh-CN"/>
              </w:rPr>
              <w:t>中共哈密市伊州区委员会网络安全和信息化委员会办公室</w:t>
            </w:r>
          </w:p>
        </w:tc>
        <w:tc>
          <w:tcPr>
            <w:tcW w:w="3688" w:type="dxa"/>
            <w:gridSpan w:val="5"/>
            <w:tcBorders>
              <w:top w:val="nil"/>
              <w:left w:val="nil"/>
              <w:bottom w:val="nil"/>
              <w:right w:val="nil"/>
            </w:tcBorders>
            <w:vAlign w:val="center"/>
          </w:tcPr>
          <w:p>
            <w:pPr>
              <w:keepNext w:val="0"/>
              <w:keepLines w:val="0"/>
              <w:widowControl/>
              <w:suppressLineNumbers w:val="0"/>
              <w:jc w:val="righ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1800" w:type="dxa"/>
            <w:gridSpan w:val="3"/>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科 目 编 码</w:t>
            </w:r>
          </w:p>
        </w:tc>
        <w:tc>
          <w:tcPr>
            <w:tcW w:w="1793" w:type="dxa"/>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科目</w:t>
            </w:r>
          </w:p>
        </w:tc>
        <w:tc>
          <w:tcPr>
            <w:tcW w:w="1514" w:type="dxa"/>
            <w:vMerge w:val="restart"/>
            <w:vAlign w:val="center"/>
          </w:tcPr>
          <w:p>
            <w:pPr>
              <w:keepNext w:val="0"/>
              <w:keepLines w:val="0"/>
              <w:widowControl/>
              <w:suppressLineNumbers w:val="0"/>
              <w:jc w:val="center"/>
              <w:textAlignment w:val="center"/>
              <w:rPr>
                <w:rFonts w:ascii="Calibri" w:hAnsi="Calibri" w:eastAsia="宋体" w:cs="Times New Roman"/>
                <w:kern w:val="2"/>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项目名称</w:t>
            </w:r>
          </w:p>
        </w:tc>
        <w:tc>
          <w:tcPr>
            <w:tcW w:w="746"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commentRangeStart w:id="0"/>
            <w:r>
              <w:rPr>
                <w:rFonts w:hint="eastAsia" w:ascii="仿宋_GB2312" w:hAnsi="宋体" w:eastAsia="仿宋_GB2312" w:cs="仿宋_GB2312"/>
                <w:b/>
                <w:i w:val="0"/>
                <w:color w:val="000000"/>
                <w:kern w:val="0"/>
                <w:sz w:val="20"/>
                <w:szCs w:val="20"/>
                <w:u w:val="none"/>
                <w:lang w:val="en-US" w:eastAsia="zh-CN" w:bidi="ar"/>
              </w:rPr>
              <w:t>年初项目支出合计</w:t>
            </w:r>
            <w:commentRangeEnd w:id="0"/>
            <w:r>
              <w:commentReference w:id="0"/>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commentRangeStart w:id="1"/>
            <w:r>
              <w:rPr>
                <w:rFonts w:hint="eastAsia" w:ascii="仿宋_GB2312" w:hAnsi="宋体" w:eastAsia="仿宋_GB2312" w:cs="仿宋_GB2312"/>
                <w:b/>
                <w:i w:val="0"/>
                <w:color w:val="000000"/>
                <w:kern w:val="0"/>
                <w:sz w:val="20"/>
                <w:szCs w:val="20"/>
                <w:u w:val="none"/>
                <w:lang w:val="en-US" w:eastAsia="zh-CN" w:bidi="ar"/>
              </w:rPr>
              <w:t>调整后项目支出合计</w:t>
            </w:r>
            <w:commentRangeEnd w:id="1"/>
            <w:r>
              <w:commentReference w:id="1"/>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工资福利支出</w:t>
            </w:r>
          </w:p>
        </w:tc>
        <w:tc>
          <w:tcPr>
            <w:tcW w:w="931" w:type="dxa"/>
            <w:vMerge w:val="restart"/>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商品和服务支出</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对个人和家庭的补助</w:t>
            </w:r>
          </w:p>
        </w:tc>
        <w:tc>
          <w:tcPr>
            <w:tcW w:w="932"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债务利息及费用支出</w:t>
            </w:r>
          </w:p>
        </w:tc>
        <w:tc>
          <w:tcPr>
            <w:tcW w:w="658"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资本性支出（基本建设）</w:t>
            </w:r>
          </w:p>
        </w:tc>
        <w:tc>
          <w:tcPr>
            <w:tcW w:w="1040" w:type="dxa"/>
            <w:gridSpan w:val="2"/>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对社会保障基金补助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4" w:hRule="atLeast"/>
          <w:jc w:val="center"/>
        </w:trPr>
        <w:tc>
          <w:tcPr>
            <w:tcW w:w="600"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类</w:t>
            </w:r>
          </w:p>
        </w:tc>
        <w:tc>
          <w:tcPr>
            <w:tcW w:w="517"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款</w:t>
            </w:r>
          </w:p>
        </w:tc>
        <w:tc>
          <w:tcPr>
            <w:tcW w:w="683"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项</w:t>
            </w:r>
          </w:p>
        </w:tc>
        <w:tc>
          <w:tcPr>
            <w:tcW w:w="1793" w:type="dxa"/>
            <w:vAlign w:val="center"/>
          </w:tcPr>
          <w:p>
            <w:pPr>
              <w:keepNext w:val="0"/>
              <w:keepLines w:val="0"/>
              <w:widowControl/>
              <w:suppressLineNumbers w:val="0"/>
              <w:jc w:val="center"/>
              <w:textAlignment w:val="center"/>
              <w:rPr>
                <w:rFonts w:ascii="Calibri" w:hAnsi="Calibri"/>
                <w:sz w:val="20"/>
                <w:szCs w:val="20"/>
              </w:rPr>
            </w:pPr>
            <w:r>
              <w:rPr>
                <w:rFonts w:hint="eastAsia" w:ascii="仿宋_GB2312" w:hAnsi="宋体" w:eastAsia="仿宋_GB2312" w:cs="仿宋_GB2312"/>
                <w:b/>
                <w:i w:val="0"/>
                <w:color w:val="000000"/>
                <w:kern w:val="0"/>
                <w:sz w:val="20"/>
                <w:szCs w:val="20"/>
                <w:u w:val="none"/>
                <w:lang w:val="en-US" w:eastAsia="zh-CN" w:bidi="ar"/>
              </w:rPr>
              <w:t>名称</w:t>
            </w:r>
          </w:p>
        </w:tc>
        <w:tc>
          <w:tcPr>
            <w:tcW w:w="1514" w:type="dxa"/>
            <w:vMerge w:val="continue"/>
            <w:vAlign w:val="center"/>
          </w:tcPr>
          <w:p>
            <w:pPr>
              <w:jc w:val="center"/>
            </w:pPr>
          </w:p>
        </w:tc>
        <w:tc>
          <w:tcPr>
            <w:tcW w:w="746"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pPr>
          </w:p>
        </w:tc>
        <w:tc>
          <w:tcPr>
            <w:tcW w:w="931" w:type="dxa"/>
            <w:vMerge w:val="continue"/>
            <w:vAlign w:val="center"/>
          </w:tcPr>
          <w:p>
            <w:pPr>
              <w:jc w:val="center"/>
              <w:rPr>
                <w:rFonts w:ascii="仿宋_GB2312" w:hAnsi="宋体" w:eastAsia="仿宋_GB2312"/>
                <w:b/>
                <w:kern w:val="0"/>
                <w:sz w:val="20"/>
                <w:szCs w:val="20"/>
              </w:rPr>
            </w:pPr>
          </w:p>
        </w:tc>
        <w:tc>
          <w:tcPr>
            <w:tcW w:w="932" w:type="dxa"/>
            <w:vMerge w:val="continue"/>
            <w:vAlign w:val="center"/>
          </w:tcPr>
          <w:p>
            <w:pPr>
              <w:jc w:val="center"/>
              <w:rPr>
                <w:rFonts w:ascii="仿宋_GB2312" w:hAnsi="宋体" w:eastAsia="仿宋_GB2312"/>
                <w:b/>
                <w:kern w:val="0"/>
                <w:sz w:val="20"/>
                <w:szCs w:val="20"/>
              </w:rPr>
            </w:pPr>
          </w:p>
        </w:tc>
        <w:tc>
          <w:tcPr>
            <w:tcW w:w="658" w:type="dxa"/>
            <w:vMerge w:val="continue"/>
            <w:vAlign w:val="center"/>
          </w:tcPr>
          <w:p>
            <w:pPr>
              <w:jc w:val="center"/>
              <w:rPr>
                <w:rFonts w:ascii="仿宋_GB2312" w:hAnsi="宋体" w:eastAsia="仿宋_GB2312"/>
                <w:b/>
                <w:kern w:val="0"/>
                <w:sz w:val="20"/>
                <w:szCs w:val="20"/>
              </w:rPr>
            </w:pPr>
          </w:p>
        </w:tc>
        <w:tc>
          <w:tcPr>
            <w:tcW w:w="1040" w:type="dxa"/>
            <w:gridSpan w:val="2"/>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0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517"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683"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1793"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1514"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w:t>
            </w:r>
          </w:p>
        </w:tc>
        <w:tc>
          <w:tcPr>
            <w:tcW w:w="746"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2</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3</w:t>
            </w:r>
          </w:p>
        </w:tc>
        <w:tc>
          <w:tcPr>
            <w:tcW w:w="931"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4</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5</w:t>
            </w:r>
          </w:p>
        </w:tc>
        <w:tc>
          <w:tcPr>
            <w:tcW w:w="932"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6</w:t>
            </w:r>
          </w:p>
        </w:tc>
        <w:tc>
          <w:tcPr>
            <w:tcW w:w="658"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7</w:t>
            </w:r>
          </w:p>
        </w:tc>
        <w:tc>
          <w:tcPr>
            <w:tcW w:w="1040" w:type="dxa"/>
            <w:gridSpan w:val="2"/>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9</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10</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11</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12</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jc w:val="center"/>
        </w:trPr>
        <w:tc>
          <w:tcPr>
            <w:tcW w:w="600"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201</w:t>
            </w:r>
          </w:p>
        </w:tc>
        <w:tc>
          <w:tcPr>
            <w:tcW w:w="517" w:type="dxa"/>
            <w:vAlign w:val="center"/>
          </w:tcPr>
          <w:p>
            <w:pPr>
              <w:jc w:val="left"/>
              <w:rPr>
                <w:rFonts w:ascii="仿宋_GB2312" w:hAnsi="宋体" w:eastAsia="仿宋_GB2312"/>
                <w:kern w:val="0"/>
                <w:sz w:val="16"/>
                <w:szCs w:val="16"/>
              </w:rPr>
            </w:pPr>
          </w:p>
        </w:tc>
        <w:tc>
          <w:tcPr>
            <w:tcW w:w="683" w:type="dxa"/>
            <w:vAlign w:val="center"/>
          </w:tcPr>
          <w:p>
            <w:pPr>
              <w:jc w:val="left"/>
              <w:rPr>
                <w:rFonts w:ascii="仿宋_GB2312" w:hAnsi="宋体" w:eastAsia="仿宋_GB2312"/>
                <w:kern w:val="0"/>
                <w:sz w:val="16"/>
                <w:szCs w:val="16"/>
              </w:rPr>
            </w:pPr>
          </w:p>
        </w:tc>
        <w:tc>
          <w:tcPr>
            <w:tcW w:w="1793" w:type="dxa"/>
            <w:vAlign w:val="center"/>
          </w:tcPr>
          <w:p>
            <w:pPr>
              <w:keepNext w:val="0"/>
              <w:keepLines w:val="0"/>
              <w:widowControl/>
              <w:suppressLineNumbers w:val="0"/>
              <w:ind w:firstLine="241" w:firstLineChars="0"/>
              <w:jc w:val="left"/>
              <w:textAlignment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一般公共服务支出</w:t>
            </w:r>
          </w:p>
        </w:tc>
        <w:tc>
          <w:tcPr>
            <w:tcW w:w="1514" w:type="dxa"/>
            <w:vAlign w:val="center"/>
          </w:tcPr>
          <w:p>
            <w:pPr>
              <w:jc w:val="left"/>
            </w:pPr>
          </w:p>
        </w:tc>
        <w:tc>
          <w:tcPr>
            <w:tcW w:w="746" w:type="dxa"/>
            <w:vAlign w:val="center"/>
          </w:tcPr>
          <w:p>
            <w:pPr>
              <w:jc w:val="right"/>
              <w:rPr>
                <w:rFonts w:hint="default"/>
                <w:lang w:val="en-US" w:eastAsia="zh-CN"/>
              </w:rPr>
            </w:pPr>
            <w:r>
              <w:rPr>
                <w:rFonts w:hint="eastAsia"/>
                <w:lang w:val="en-US" w:eastAsia="zh-CN"/>
              </w:rPr>
              <w:t>0</w:t>
            </w:r>
          </w:p>
        </w:tc>
        <w:tc>
          <w:tcPr>
            <w:tcW w:w="931" w:type="dxa"/>
            <w:vAlign w:val="center"/>
          </w:tcPr>
          <w:p>
            <w:pPr>
              <w:jc w:val="right"/>
              <w:rPr>
                <w:rFonts w:hint="default"/>
                <w:lang w:val="en-US" w:eastAsia="zh-CN"/>
              </w:rPr>
            </w:pPr>
            <w:r>
              <w:rPr>
                <w:rFonts w:hint="eastAsia"/>
                <w:lang w:val="en-US" w:eastAsia="zh-CN"/>
              </w:rPr>
              <w:t>43</w:t>
            </w:r>
          </w:p>
        </w:tc>
        <w:tc>
          <w:tcPr>
            <w:tcW w:w="931" w:type="dxa"/>
            <w:vAlign w:val="center"/>
          </w:tcPr>
          <w:p>
            <w:pPr>
              <w:jc w:val="right"/>
              <w:rPr>
                <w:rFonts w:hint="eastAsia"/>
                <w:lang w:val="en-US" w:eastAsia="zh-CN"/>
              </w:rPr>
            </w:pPr>
          </w:p>
        </w:tc>
        <w:tc>
          <w:tcPr>
            <w:tcW w:w="931" w:type="dxa"/>
            <w:vAlign w:val="center"/>
          </w:tcPr>
          <w:p>
            <w:pPr>
              <w:jc w:val="right"/>
              <w:rPr>
                <w:rFonts w:hint="default" w:eastAsiaTheme="minorEastAsia"/>
                <w:lang w:val="en-US" w:eastAsia="zh-CN"/>
              </w:rPr>
            </w:pPr>
            <w:r>
              <w:rPr>
                <w:rFonts w:hint="eastAsia"/>
                <w:lang w:val="en-US" w:eastAsia="zh-CN"/>
              </w:rPr>
              <w:t>43</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658" w:type="dxa"/>
            <w:vAlign w:val="center"/>
          </w:tcPr>
          <w:p>
            <w:pPr>
              <w:jc w:val="right"/>
            </w:pPr>
          </w:p>
        </w:tc>
        <w:tc>
          <w:tcPr>
            <w:tcW w:w="1040" w:type="dxa"/>
            <w:gridSpan w:val="2"/>
            <w:vAlign w:val="center"/>
          </w:tcPr>
          <w:p>
            <w:pPr>
              <w:jc w:val="right"/>
              <w:rPr>
                <w:rFonts w:hint="default"/>
                <w:lang w:val="en-US" w:eastAsia="zh-CN"/>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600"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201</w:t>
            </w:r>
          </w:p>
        </w:tc>
        <w:tc>
          <w:tcPr>
            <w:tcW w:w="517"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37</w:t>
            </w:r>
          </w:p>
        </w:tc>
        <w:tc>
          <w:tcPr>
            <w:tcW w:w="683" w:type="dxa"/>
            <w:vAlign w:val="center"/>
          </w:tcPr>
          <w:p>
            <w:pPr>
              <w:jc w:val="left"/>
              <w:rPr>
                <w:rFonts w:ascii="仿宋_GB2312" w:hAnsi="宋体" w:eastAsia="仿宋_GB2312"/>
                <w:kern w:val="0"/>
                <w:sz w:val="16"/>
                <w:szCs w:val="16"/>
              </w:rPr>
            </w:pPr>
          </w:p>
        </w:tc>
        <w:tc>
          <w:tcPr>
            <w:tcW w:w="1793" w:type="dxa"/>
            <w:vAlign w:val="center"/>
          </w:tcPr>
          <w:p>
            <w:pPr>
              <w:keepNext w:val="0"/>
              <w:keepLines w:val="0"/>
              <w:widowControl/>
              <w:suppressLineNumbers w:val="0"/>
              <w:jc w:val="left"/>
              <w:textAlignment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网信事务</w:t>
            </w:r>
          </w:p>
        </w:tc>
        <w:tc>
          <w:tcPr>
            <w:tcW w:w="1514" w:type="dxa"/>
            <w:vAlign w:val="center"/>
          </w:tcPr>
          <w:p>
            <w:pPr>
              <w:jc w:val="left"/>
            </w:pPr>
          </w:p>
        </w:tc>
        <w:tc>
          <w:tcPr>
            <w:tcW w:w="746" w:type="dxa"/>
            <w:vAlign w:val="center"/>
          </w:tcPr>
          <w:p>
            <w:pPr>
              <w:jc w:val="right"/>
              <w:rPr>
                <w:rFonts w:hint="default"/>
                <w:lang w:val="en-US" w:eastAsia="zh-CN"/>
              </w:rPr>
            </w:pPr>
            <w:r>
              <w:rPr>
                <w:rFonts w:hint="eastAsia"/>
                <w:lang w:val="en-US" w:eastAsia="zh-CN"/>
              </w:rPr>
              <w:t>0</w:t>
            </w:r>
          </w:p>
        </w:tc>
        <w:tc>
          <w:tcPr>
            <w:tcW w:w="931" w:type="dxa"/>
            <w:vAlign w:val="center"/>
          </w:tcPr>
          <w:p>
            <w:pPr>
              <w:jc w:val="right"/>
              <w:rPr>
                <w:rFonts w:hint="default"/>
                <w:lang w:val="en-US" w:eastAsia="zh-CN"/>
              </w:rPr>
            </w:pPr>
            <w:r>
              <w:rPr>
                <w:rFonts w:hint="eastAsia"/>
                <w:lang w:val="en-US" w:eastAsia="zh-CN"/>
              </w:rPr>
              <w:t>43</w:t>
            </w:r>
          </w:p>
        </w:tc>
        <w:tc>
          <w:tcPr>
            <w:tcW w:w="931" w:type="dxa"/>
            <w:vAlign w:val="center"/>
          </w:tcPr>
          <w:p>
            <w:pPr>
              <w:jc w:val="right"/>
              <w:rPr>
                <w:rFonts w:hint="eastAsia"/>
                <w:lang w:val="en-US" w:eastAsia="zh-CN"/>
              </w:rPr>
            </w:pPr>
          </w:p>
        </w:tc>
        <w:tc>
          <w:tcPr>
            <w:tcW w:w="931" w:type="dxa"/>
            <w:vAlign w:val="center"/>
          </w:tcPr>
          <w:p>
            <w:pPr>
              <w:jc w:val="right"/>
              <w:rPr>
                <w:rFonts w:hint="default" w:eastAsiaTheme="minorEastAsia"/>
                <w:lang w:val="en-US" w:eastAsia="zh-CN"/>
              </w:rPr>
            </w:pPr>
            <w:r>
              <w:rPr>
                <w:rFonts w:hint="eastAsia"/>
                <w:lang w:val="en-US" w:eastAsia="zh-CN"/>
              </w:rPr>
              <w:t>43</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658" w:type="dxa"/>
            <w:vAlign w:val="center"/>
          </w:tcPr>
          <w:p>
            <w:pPr>
              <w:jc w:val="right"/>
            </w:pPr>
          </w:p>
        </w:tc>
        <w:tc>
          <w:tcPr>
            <w:tcW w:w="1040" w:type="dxa"/>
            <w:gridSpan w:val="2"/>
            <w:vAlign w:val="center"/>
          </w:tcPr>
          <w:p>
            <w:pPr>
              <w:jc w:val="right"/>
              <w:rPr>
                <w:rFonts w:hint="default"/>
                <w:lang w:val="en-US" w:eastAsia="zh-CN"/>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jc w:val="center"/>
        </w:trPr>
        <w:tc>
          <w:tcPr>
            <w:tcW w:w="600"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201</w:t>
            </w:r>
          </w:p>
        </w:tc>
        <w:tc>
          <w:tcPr>
            <w:tcW w:w="517"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37</w:t>
            </w:r>
          </w:p>
        </w:tc>
        <w:tc>
          <w:tcPr>
            <w:tcW w:w="683"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99</w:t>
            </w:r>
          </w:p>
        </w:tc>
        <w:tc>
          <w:tcPr>
            <w:tcW w:w="1793"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其他网信事务支出</w:t>
            </w:r>
          </w:p>
        </w:tc>
        <w:tc>
          <w:tcPr>
            <w:tcW w:w="1514" w:type="dxa"/>
            <w:vAlign w:val="center"/>
          </w:tcPr>
          <w:p>
            <w:pPr>
              <w:keepNext w:val="0"/>
              <w:keepLines w:val="0"/>
              <w:widowControl/>
              <w:suppressLineNumbers w:val="0"/>
              <w:jc w:val="left"/>
              <w:textAlignment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特定类-专项工作经费</w:t>
            </w:r>
          </w:p>
        </w:tc>
        <w:tc>
          <w:tcPr>
            <w:tcW w:w="746" w:type="dxa"/>
            <w:vAlign w:val="center"/>
          </w:tcPr>
          <w:p>
            <w:pPr>
              <w:jc w:val="right"/>
              <w:rPr>
                <w:rFonts w:hint="default" w:eastAsiaTheme="minorEastAsia"/>
                <w:lang w:val="en-US" w:eastAsia="zh-CN"/>
              </w:rPr>
            </w:pPr>
            <w:r>
              <w:rPr>
                <w:rFonts w:hint="eastAsia"/>
                <w:lang w:val="en-US" w:eastAsia="zh-CN"/>
              </w:rPr>
              <w:t>0</w:t>
            </w:r>
          </w:p>
        </w:tc>
        <w:tc>
          <w:tcPr>
            <w:tcW w:w="931" w:type="dxa"/>
            <w:vAlign w:val="center"/>
          </w:tcPr>
          <w:p>
            <w:pPr>
              <w:jc w:val="right"/>
              <w:rPr>
                <w:rFonts w:hint="default"/>
                <w:lang w:val="en-US" w:eastAsia="zh-CN"/>
              </w:rPr>
            </w:pPr>
            <w:r>
              <w:rPr>
                <w:rFonts w:hint="eastAsia"/>
                <w:lang w:val="en-US" w:eastAsia="zh-CN"/>
              </w:rPr>
              <w:t>35</w:t>
            </w:r>
          </w:p>
        </w:tc>
        <w:tc>
          <w:tcPr>
            <w:tcW w:w="931" w:type="dxa"/>
            <w:vAlign w:val="center"/>
          </w:tcPr>
          <w:p>
            <w:pPr>
              <w:jc w:val="right"/>
              <w:rPr>
                <w:rFonts w:hint="eastAsia"/>
                <w:lang w:val="en-US" w:eastAsia="zh-CN"/>
              </w:rPr>
            </w:pPr>
          </w:p>
        </w:tc>
        <w:tc>
          <w:tcPr>
            <w:tcW w:w="931" w:type="dxa"/>
            <w:vAlign w:val="center"/>
          </w:tcPr>
          <w:p>
            <w:pPr>
              <w:jc w:val="right"/>
              <w:rPr>
                <w:rFonts w:hint="default" w:eastAsiaTheme="minorEastAsia"/>
                <w:lang w:val="en-US" w:eastAsia="zh-CN"/>
              </w:rPr>
            </w:pPr>
            <w:r>
              <w:rPr>
                <w:rFonts w:hint="eastAsia"/>
                <w:lang w:val="en-US" w:eastAsia="zh-CN"/>
              </w:rPr>
              <w:t>35</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658" w:type="dxa"/>
            <w:vAlign w:val="center"/>
          </w:tcPr>
          <w:p>
            <w:pPr>
              <w:jc w:val="right"/>
            </w:pPr>
          </w:p>
        </w:tc>
        <w:tc>
          <w:tcPr>
            <w:tcW w:w="1040" w:type="dxa"/>
            <w:gridSpan w:val="2"/>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jc w:val="center"/>
        </w:trPr>
        <w:tc>
          <w:tcPr>
            <w:tcW w:w="600" w:type="dxa"/>
            <w:vAlign w:val="center"/>
          </w:tcPr>
          <w:p>
            <w:pPr>
              <w:keepNext w:val="0"/>
              <w:keepLines w:val="0"/>
              <w:widowControl/>
              <w:suppressLineNumbers w:val="0"/>
              <w:jc w:val="left"/>
              <w:textAlignment w:val="center"/>
              <w:rPr>
                <w:rFonts w:hint="default" w:ascii="仿宋_GB2312" w:hAnsi="宋体" w:eastAsia="仿宋_GB2312" w:cstheme="minorBidi"/>
                <w:kern w:val="0"/>
                <w:sz w:val="16"/>
                <w:szCs w:val="16"/>
                <w:lang w:val="en-US" w:eastAsia="zh-CN" w:bidi="ar-SA"/>
              </w:rPr>
            </w:pPr>
            <w:r>
              <w:rPr>
                <w:rFonts w:hint="eastAsia" w:ascii="仿宋_GB2312" w:hAnsi="宋体" w:eastAsia="仿宋_GB2312" w:cs="仿宋_GB2312"/>
                <w:i w:val="0"/>
                <w:color w:val="000000"/>
                <w:kern w:val="0"/>
                <w:sz w:val="20"/>
                <w:szCs w:val="20"/>
                <w:u w:val="none"/>
                <w:lang w:val="en-US" w:eastAsia="zh-CN" w:bidi="ar"/>
              </w:rPr>
              <w:t>201</w:t>
            </w:r>
          </w:p>
        </w:tc>
        <w:tc>
          <w:tcPr>
            <w:tcW w:w="517" w:type="dxa"/>
            <w:vAlign w:val="center"/>
          </w:tcPr>
          <w:p>
            <w:pPr>
              <w:keepNext w:val="0"/>
              <w:keepLines w:val="0"/>
              <w:widowControl/>
              <w:suppressLineNumbers w:val="0"/>
              <w:jc w:val="left"/>
              <w:textAlignment w:val="center"/>
              <w:rPr>
                <w:rFonts w:hint="default" w:ascii="仿宋_GB2312" w:hAnsi="宋体" w:eastAsia="仿宋_GB2312" w:cstheme="minorBidi"/>
                <w:kern w:val="0"/>
                <w:sz w:val="16"/>
                <w:szCs w:val="16"/>
                <w:lang w:val="en-US" w:eastAsia="zh-CN" w:bidi="ar-SA"/>
              </w:rPr>
            </w:pPr>
            <w:r>
              <w:rPr>
                <w:rFonts w:hint="eastAsia" w:ascii="仿宋_GB2312" w:hAnsi="宋体" w:eastAsia="仿宋_GB2312" w:cs="仿宋_GB2312"/>
                <w:i w:val="0"/>
                <w:color w:val="000000"/>
                <w:kern w:val="0"/>
                <w:sz w:val="20"/>
                <w:szCs w:val="20"/>
                <w:u w:val="none"/>
                <w:lang w:val="en-US" w:eastAsia="zh-CN" w:bidi="ar"/>
              </w:rPr>
              <w:t>37</w:t>
            </w:r>
          </w:p>
        </w:tc>
        <w:tc>
          <w:tcPr>
            <w:tcW w:w="683" w:type="dxa"/>
            <w:vAlign w:val="center"/>
          </w:tcPr>
          <w:p>
            <w:pPr>
              <w:keepNext w:val="0"/>
              <w:keepLines w:val="0"/>
              <w:widowControl/>
              <w:suppressLineNumbers w:val="0"/>
              <w:jc w:val="left"/>
              <w:textAlignment w:val="center"/>
              <w:rPr>
                <w:rFonts w:hint="default" w:ascii="仿宋_GB2312" w:hAnsi="宋体" w:eastAsia="仿宋_GB2312" w:cstheme="minorBidi"/>
                <w:kern w:val="0"/>
                <w:sz w:val="16"/>
                <w:szCs w:val="16"/>
                <w:lang w:val="en-US" w:eastAsia="zh-CN" w:bidi="ar-SA"/>
              </w:rPr>
            </w:pPr>
            <w:r>
              <w:rPr>
                <w:rFonts w:hint="eastAsia" w:ascii="仿宋_GB2312" w:hAnsi="宋体" w:eastAsia="仿宋_GB2312" w:cs="仿宋_GB2312"/>
                <w:i w:val="0"/>
                <w:color w:val="000000"/>
                <w:kern w:val="0"/>
                <w:sz w:val="20"/>
                <w:szCs w:val="20"/>
                <w:u w:val="none"/>
                <w:lang w:val="en-US" w:eastAsia="zh-CN" w:bidi="ar"/>
              </w:rPr>
              <w:t>99</w:t>
            </w:r>
          </w:p>
        </w:tc>
        <w:tc>
          <w:tcPr>
            <w:tcW w:w="1793" w:type="dxa"/>
            <w:vAlign w:val="center"/>
          </w:tcPr>
          <w:p>
            <w:pPr>
              <w:keepNext w:val="0"/>
              <w:keepLines w:val="0"/>
              <w:widowControl/>
              <w:suppressLineNumbers w:val="0"/>
              <w:jc w:val="left"/>
              <w:textAlignment w:val="center"/>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其他网信事务支出</w:t>
            </w:r>
          </w:p>
        </w:tc>
        <w:tc>
          <w:tcPr>
            <w:tcW w:w="1514"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特定类-网络宣传经费</w:t>
            </w:r>
          </w:p>
          <w:p>
            <w:pPr>
              <w:bidi w:val="0"/>
              <w:jc w:val="center"/>
              <w:rPr>
                <w:rFonts w:hint="eastAsia" w:asciiTheme="minorHAnsi" w:hAnsiTheme="minorHAnsi" w:eastAsiaTheme="minorEastAsia" w:cstheme="minorBidi"/>
                <w:kern w:val="2"/>
                <w:sz w:val="21"/>
                <w:szCs w:val="24"/>
                <w:lang w:val="en-US" w:eastAsia="zh-CN" w:bidi="ar-SA"/>
              </w:rPr>
            </w:pPr>
          </w:p>
        </w:tc>
        <w:tc>
          <w:tcPr>
            <w:tcW w:w="746" w:type="dxa"/>
            <w:vAlign w:val="center"/>
          </w:tcPr>
          <w:p>
            <w:pPr>
              <w:jc w:val="right"/>
              <w:rPr>
                <w:rFonts w:hint="default" w:eastAsiaTheme="minorEastAsia"/>
                <w:lang w:val="en-US" w:eastAsia="zh-CN"/>
              </w:rPr>
            </w:pPr>
            <w:r>
              <w:rPr>
                <w:rFonts w:hint="eastAsia"/>
                <w:lang w:val="en-US" w:eastAsia="zh-CN"/>
              </w:rPr>
              <w:t>0</w:t>
            </w:r>
          </w:p>
        </w:tc>
        <w:tc>
          <w:tcPr>
            <w:tcW w:w="931" w:type="dxa"/>
            <w:vAlign w:val="center"/>
          </w:tcPr>
          <w:p>
            <w:pPr>
              <w:jc w:val="right"/>
              <w:rPr>
                <w:rFonts w:hint="default"/>
                <w:lang w:val="en-US" w:eastAsia="zh-CN"/>
              </w:rPr>
            </w:pPr>
            <w:r>
              <w:rPr>
                <w:rFonts w:hint="eastAsia"/>
                <w:lang w:val="en-US" w:eastAsia="zh-CN"/>
              </w:rPr>
              <w:t>8</w:t>
            </w:r>
          </w:p>
        </w:tc>
        <w:tc>
          <w:tcPr>
            <w:tcW w:w="931" w:type="dxa"/>
            <w:vAlign w:val="center"/>
          </w:tcPr>
          <w:p>
            <w:pPr>
              <w:jc w:val="right"/>
              <w:rPr>
                <w:rFonts w:hint="eastAsia"/>
                <w:lang w:val="en-US" w:eastAsia="zh-CN"/>
              </w:rPr>
            </w:pPr>
          </w:p>
        </w:tc>
        <w:tc>
          <w:tcPr>
            <w:tcW w:w="931" w:type="dxa"/>
            <w:vAlign w:val="center"/>
          </w:tcPr>
          <w:p>
            <w:pPr>
              <w:jc w:val="right"/>
              <w:rPr>
                <w:rFonts w:hint="default" w:eastAsiaTheme="minorEastAsia"/>
                <w:lang w:val="en-US" w:eastAsia="zh-CN"/>
              </w:rPr>
            </w:pPr>
            <w:r>
              <w:rPr>
                <w:rFonts w:hint="eastAsia"/>
                <w:lang w:val="en-US" w:eastAsia="zh-CN"/>
              </w:rPr>
              <w:t>8</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658" w:type="dxa"/>
            <w:vAlign w:val="center"/>
          </w:tcPr>
          <w:p>
            <w:pPr>
              <w:jc w:val="right"/>
            </w:pPr>
          </w:p>
        </w:tc>
        <w:tc>
          <w:tcPr>
            <w:tcW w:w="1040" w:type="dxa"/>
            <w:gridSpan w:val="2"/>
            <w:vAlign w:val="center"/>
          </w:tcPr>
          <w:p>
            <w:pPr>
              <w:jc w:val="right"/>
              <w:rPr>
                <w:rFonts w:hint="default"/>
                <w:lang w:val="en-US" w:eastAsia="zh-CN"/>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00"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p>
        </w:tc>
        <w:tc>
          <w:tcPr>
            <w:tcW w:w="517"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p>
        </w:tc>
        <w:tc>
          <w:tcPr>
            <w:tcW w:w="683"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p>
        </w:tc>
        <w:tc>
          <w:tcPr>
            <w:tcW w:w="1793"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合计</w:t>
            </w:r>
          </w:p>
        </w:tc>
        <w:tc>
          <w:tcPr>
            <w:tcW w:w="1514"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p>
        </w:tc>
        <w:tc>
          <w:tcPr>
            <w:tcW w:w="746" w:type="dxa"/>
            <w:vAlign w:val="center"/>
          </w:tcPr>
          <w:p>
            <w:pPr>
              <w:jc w:val="right"/>
              <w:rPr>
                <w:rFonts w:hint="default" w:cstheme="minorBidi"/>
                <w:kern w:val="2"/>
                <w:sz w:val="21"/>
                <w:szCs w:val="24"/>
                <w:lang w:val="en-US" w:eastAsia="zh-CN" w:bidi="ar-SA"/>
              </w:rPr>
            </w:pPr>
            <w:r>
              <w:rPr>
                <w:rFonts w:hint="eastAsia" w:cstheme="minorBidi"/>
                <w:kern w:val="2"/>
                <w:sz w:val="21"/>
                <w:szCs w:val="24"/>
                <w:lang w:val="en-US" w:eastAsia="zh-CN" w:bidi="ar-SA"/>
              </w:rPr>
              <w:t>0</w:t>
            </w:r>
          </w:p>
        </w:tc>
        <w:tc>
          <w:tcPr>
            <w:tcW w:w="931" w:type="dxa"/>
            <w:vAlign w:val="center"/>
          </w:tcPr>
          <w:p>
            <w:pPr>
              <w:jc w:val="right"/>
              <w:rPr>
                <w:rFonts w:hint="default" w:cstheme="minorBidi"/>
                <w:kern w:val="2"/>
                <w:sz w:val="21"/>
                <w:szCs w:val="24"/>
                <w:lang w:val="en-US" w:eastAsia="zh-CN" w:bidi="ar-SA"/>
              </w:rPr>
            </w:pPr>
            <w:r>
              <w:rPr>
                <w:rFonts w:hint="eastAsia" w:cstheme="minorBidi"/>
                <w:kern w:val="2"/>
                <w:sz w:val="21"/>
                <w:szCs w:val="24"/>
                <w:lang w:val="en-US" w:eastAsia="zh-CN" w:bidi="ar-SA"/>
              </w:rPr>
              <w:t>43</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eastAsiaTheme="minorEastAsia"/>
                <w:lang w:val="en-US" w:eastAsia="zh-CN"/>
              </w:rPr>
            </w:pPr>
            <w:r>
              <w:rPr>
                <w:rFonts w:hint="eastAsia"/>
                <w:lang w:val="en-US" w:eastAsia="zh-CN"/>
              </w:rPr>
              <w:t>43</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658" w:type="dxa"/>
            <w:vAlign w:val="center"/>
          </w:tcPr>
          <w:p>
            <w:pPr>
              <w:jc w:val="right"/>
            </w:pPr>
          </w:p>
        </w:tc>
        <w:tc>
          <w:tcPr>
            <w:tcW w:w="1040" w:type="dxa"/>
            <w:gridSpan w:val="2"/>
            <w:vAlign w:val="center"/>
          </w:tcPr>
          <w:p>
            <w:pPr>
              <w:jc w:val="right"/>
              <w:rPr>
                <w:rFonts w:hint="default"/>
                <w:lang w:val="en-US" w:eastAsia="zh-CN"/>
              </w:rPr>
            </w:pPr>
          </w:p>
        </w:tc>
        <w:tc>
          <w:tcPr>
            <w:tcW w:w="730" w:type="dxa"/>
            <w:vAlign w:val="center"/>
          </w:tcPr>
          <w:p>
            <w:pPr>
              <w:jc w:val="right"/>
              <w:rPr>
                <w:rFonts w:hint="eastAsia"/>
                <w:lang w:val="en-US" w:eastAsia="zh-CN"/>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bl>
    <w:p>
      <w:pPr>
        <w:rPr>
          <w:rFonts w:hint="eastAsia" w:ascii="仿宋_GB2312" w:hAnsi="仿宋_GB2312" w:eastAsia="仿宋_GB2312" w:cs="仿宋_GB2312"/>
          <w:spacing w:val="18"/>
          <w:sz w:val="32"/>
          <w:szCs w:val="32"/>
          <w:lang w:val="en-US" w:eastAsia="zh-CN"/>
        </w:rPr>
        <w:sectPr>
          <w:pgSz w:w="16838" w:h="11906" w:orient="landscape"/>
          <w:pgMar w:top="1800" w:right="1440" w:bottom="1800" w:left="1440" w:header="851" w:footer="992" w:gutter="0"/>
          <w:cols w:space="425" w:num="1"/>
          <w:docGrid w:type="lines" w:linePitch="312" w:charSpace="0"/>
        </w:sectPr>
      </w:pPr>
    </w:p>
    <w:tbl>
      <w:tblPr>
        <w:tblStyle w:val="3"/>
        <w:tblW w:w="85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3"/>
        <w:gridCol w:w="843"/>
        <w:gridCol w:w="843"/>
        <w:gridCol w:w="843"/>
        <w:gridCol w:w="843"/>
        <w:gridCol w:w="843"/>
        <w:gridCol w:w="843"/>
        <w:gridCol w:w="843"/>
        <w:gridCol w:w="1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78" w:hRule="atLeast"/>
        </w:trPr>
        <w:tc>
          <w:tcPr>
            <w:tcW w:w="85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89" w:hRule="atLeast"/>
        </w:trPr>
        <w:tc>
          <w:tcPr>
            <w:tcW w:w="85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6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8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中共哈密市伊州区委员会网络安全和信息化领导小组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6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网络宣传经费</w:t>
            </w:r>
          </w:p>
        </w:tc>
        <w:tc>
          <w:tcPr>
            <w:tcW w:w="16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阿依简·叶尔博拉提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89" w:hRule="atLeast"/>
        </w:trPr>
        <w:tc>
          <w:tcPr>
            <w:tcW w:w="16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24" w:hRule="atLeast"/>
        </w:trPr>
        <w:tc>
          <w:tcPr>
            <w:tcW w:w="16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87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通过网上宣传，普及网络安全知识，营造清朗的网上环境，同时，传播中国优秀传统文化，铸牢中华民族共同体意识。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89" w:hRule="atLeast"/>
        </w:trPr>
        <w:tc>
          <w:tcPr>
            <w:tcW w:w="8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89" w:hRule="atLeast"/>
        </w:trPr>
        <w:tc>
          <w:tcPr>
            <w:tcW w:w="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宣传活动场次</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&gt;=4次</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29" w:hRule="atLeast"/>
        </w:trPr>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网络宣传周活动举办成功率</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29" w:hRule="atLeast"/>
        </w:trPr>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网络宣传活动完成及时率</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29" w:hRule="atLeast"/>
        </w:trPr>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网络宣传活动总费用</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&lt;=8万元</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29" w:hRule="atLeast"/>
        </w:trPr>
        <w:tc>
          <w:tcPr>
            <w:tcW w:w="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传播中国优秀传统文化</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普及</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708" w:hRule="atLeast"/>
        </w:trPr>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普及网络安全知识，营造清朗的网上环境</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普及</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00" w:hRule="atLeast"/>
        </w:trPr>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网民满意度</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b/>
          <w:bCs/>
          <w:spacing w:val="18"/>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uSuan" w:date="2024-05-24T11:42:42Z" w:initials="Y">
    <w:p w14:paraId="3E8825C2">
      <w:pPr>
        <w:pStyle w:val="2"/>
        <w:rPr>
          <w:rFonts w:hint="default" w:eastAsiaTheme="minorEastAsia"/>
          <w:lang w:val="en-US" w:eastAsia="zh-CN"/>
        </w:rPr>
      </w:pPr>
      <w:r>
        <w:rPr>
          <w:rFonts w:hint="eastAsia"/>
          <w:lang w:val="en-US" w:eastAsia="zh-CN"/>
        </w:rPr>
        <w:t>年初项目支出总数</w:t>
      </w:r>
    </w:p>
  </w:comment>
  <w:comment w:id="1" w:author="YuSuan" w:date="2024-05-24T11:42:58Z" w:initials="Y">
    <w:p w14:paraId="71C0672F">
      <w:pPr>
        <w:pStyle w:val="2"/>
        <w:rPr>
          <w:rFonts w:hint="default" w:eastAsiaTheme="minorEastAsia"/>
          <w:lang w:val="en-US" w:eastAsia="zh-CN"/>
        </w:rPr>
      </w:pPr>
      <w:r>
        <w:rPr>
          <w:rFonts w:hint="eastAsia"/>
          <w:lang w:val="en-US" w:eastAsia="zh-CN"/>
        </w:rPr>
        <w:t>调整后项目支出总数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E8825C2" w15:done="0"/>
  <w15:commentEx w15:paraId="71C0672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AE5875"/>
    <w:multiLevelType w:val="singleLevel"/>
    <w:tmpl w:val="B7AE5875"/>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uan">
    <w15:presenceInfo w15:providerId="None" w15:userId="YuS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74B53"/>
    <w:rsid w:val="0A8A3F4F"/>
    <w:rsid w:val="10573940"/>
    <w:rsid w:val="11C761D6"/>
    <w:rsid w:val="15DB65C1"/>
    <w:rsid w:val="1E8C3A51"/>
    <w:rsid w:val="1F945345"/>
    <w:rsid w:val="22AA5687"/>
    <w:rsid w:val="22E65A86"/>
    <w:rsid w:val="24C538F5"/>
    <w:rsid w:val="29F170C3"/>
    <w:rsid w:val="2E08467D"/>
    <w:rsid w:val="37E4470E"/>
    <w:rsid w:val="3C633D01"/>
    <w:rsid w:val="3E4E1604"/>
    <w:rsid w:val="3F2A1D89"/>
    <w:rsid w:val="43D42B3E"/>
    <w:rsid w:val="43EB39D1"/>
    <w:rsid w:val="44B94F88"/>
    <w:rsid w:val="49FA0A49"/>
    <w:rsid w:val="4BA11112"/>
    <w:rsid w:val="4C330033"/>
    <w:rsid w:val="5E5879D5"/>
    <w:rsid w:val="5EF422D8"/>
    <w:rsid w:val="617C5477"/>
    <w:rsid w:val="61C819A5"/>
    <w:rsid w:val="6F834C09"/>
    <w:rsid w:val="71ED0FC0"/>
    <w:rsid w:val="7BC40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character" w:customStyle="1" w:styleId="5">
    <w:name w:val="font11"/>
    <w:basedOn w:val="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8</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2024-05-10T03:22:00Z</dcterms:created>
  <dc:creator>YuSuan</dc:creator>
  <cp:lastModifiedBy>YuSuan</cp:lastModifiedBy>
  <dcterms:modified xsi:type="dcterms:W3CDTF">2024-07-09T08:41:52Z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83DE2236CDD2469788245C14DAD665F6</vt:lpwstr>
  </property>
</Properties>
</file>